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BA" w:rsidRDefault="00B17BBA">
      <w:pPr>
        <w:rPr>
          <w:sz w:val="48"/>
          <w:szCs w:val="48"/>
        </w:rPr>
      </w:pPr>
      <w:r w:rsidRPr="00B17BBA">
        <w:rPr>
          <w:sz w:val="48"/>
          <w:szCs w:val="48"/>
        </w:rPr>
        <w:t xml:space="preserve">Sociology Athena SWAN Action Plan </w:t>
      </w:r>
      <w:r w:rsidR="00F259CA">
        <w:rPr>
          <w:sz w:val="48"/>
          <w:szCs w:val="48"/>
        </w:rPr>
        <w:t>Summery</w:t>
      </w:r>
    </w:p>
    <w:p w:rsidR="00F259CA" w:rsidRDefault="00F259CA">
      <w:pPr>
        <w:rPr>
          <w:sz w:val="24"/>
        </w:rPr>
      </w:pPr>
      <w:r>
        <w:rPr>
          <w:sz w:val="24"/>
        </w:rPr>
        <w:t xml:space="preserve">This document is a simplified version of the action plan submitted in April 2019 for the departmental Athena SWAN Bronze Award. </w:t>
      </w:r>
      <w:r w:rsidR="00035775">
        <w:rPr>
          <w:sz w:val="24"/>
        </w:rPr>
        <w:t xml:space="preserve">Action points </w:t>
      </w:r>
      <w:proofErr w:type="gramStart"/>
      <w:r w:rsidR="00035775">
        <w:rPr>
          <w:sz w:val="24"/>
        </w:rPr>
        <w:t>are ordered</w:t>
      </w:r>
      <w:proofErr w:type="gramEnd"/>
      <w:r w:rsidR="00035775">
        <w:rPr>
          <w:sz w:val="24"/>
        </w:rPr>
        <w:t xml:space="preserve"> based on timeframes originally proposed in the application. This timeframe </w:t>
      </w:r>
      <w:proofErr w:type="gramStart"/>
      <w:r w:rsidR="00666502">
        <w:rPr>
          <w:sz w:val="24"/>
        </w:rPr>
        <w:t>will</w:t>
      </w:r>
      <w:r w:rsidR="00035775">
        <w:rPr>
          <w:sz w:val="24"/>
        </w:rPr>
        <w:t xml:space="preserve"> be adjusted</w:t>
      </w:r>
      <w:proofErr w:type="gramEnd"/>
      <w:r w:rsidR="00035775">
        <w:rPr>
          <w:sz w:val="24"/>
        </w:rPr>
        <w:t xml:space="preserve"> as required</w:t>
      </w:r>
      <w:r w:rsidR="00666502">
        <w:rPr>
          <w:sz w:val="24"/>
        </w:rPr>
        <w:t xml:space="preserve"> by availability of resources and implementation of University level action</w:t>
      </w:r>
      <w:r w:rsidR="00035775">
        <w:rPr>
          <w:sz w:val="24"/>
        </w:rPr>
        <w:t>.</w:t>
      </w:r>
    </w:p>
    <w:p w:rsidR="00F259CA" w:rsidRDefault="00F259CA">
      <w:pPr>
        <w:rPr>
          <w:sz w:val="24"/>
        </w:rPr>
      </w:pPr>
      <w:r>
        <w:rPr>
          <w:sz w:val="24"/>
        </w:rPr>
        <w:t xml:space="preserve">If you are interested in leading on or being part of the implementation of any of the </w:t>
      </w:r>
      <w:proofErr w:type="gramStart"/>
      <w:r w:rsidR="004F3E86">
        <w:rPr>
          <w:sz w:val="24"/>
        </w:rPr>
        <w:t>actions</w:t>
      </w:r>
      <w:proofErr w:type="gramEnd"/>
      <w:r w:rsidR="004F3E86">
        <w:rPr>
          <w:sz w:val="24"/>
        </w:rPr>
        <w:t xml:space="preserve"> </w:t>
      </w:r>
      <w:r>
        <w:rPr>
          <w:sz w:val="24"/>
        </w:rPr>
        <w:t xml:space="preserve">please get in contact with Rachel </w:t>
      </w:r>
      <w:r w:rsidR="001F5EB8">
        <w:rPr>
          <w:sz w:val="24"/>
        </w:rPr>
        <w:t xml:space="preserve">Verrall </w:t>
      </w:r>
      <w:r>
        <w:rPr>
          <w:sz w:val="24"/>
        </w:rPr>
        <w:t>or Vicky</w:t>
      </w:r>
      <w:r w:rsidR="001F5EB8">
        <w:rPr>
          <w:sz w:val="24"/>
        </w:rPr>
        <w:t xml:space="preserve"> Singleton</w:t>
      </w:r>
      <w:r>
        <w:rPr>
          <w:sz w:val="24"/>
        </w:rPr>
        <w:t xml:space="preserve">. </w:t>
      </w:r>
      <w:r w:rsidR="004F3E86">
        <w:rPr>
          <w:sz w:val="24"/>
        </w:rPr>
        <w:t xml:space="preserve">A full version of the action plan </w:t>
      </w:r>
      <w:proofErr w:type="gramStart"/>
      <w:r w:rsidR="001F5EB8">
        <w:rPr>
          <w:sz w:val="24"/>
        </w:rPr>
        <w:t>is attached</w:t>
      </w:r>
      <w:proofErr w:type="gramEnd"/>
      <w:r w:rsidR="001F5EB8">
        <w:rPr>
          <w:sz w:val="24"/>
        </w:rPr>
        <w:t xml:space="preserve"> to our submission and </w:t>
      </w:r>
      <w:r w:rsidR="004F3E86">
        <w:rPr>
          <w:sz w:val="24"/>
        </w:rPr>
        <w:t>can be accessed through Rachel.</w:t>
      </w:r>
    </w:p>
    <w:p w:rsidR="00675966" w:rsidRPr="00F259CA" w:rsidRDefault="00675966">
      <w:pPr>
        <w:rPr>
          <w:sz w:val="24"/>
        </w:rPr>
      </w:pPr>
    </w:p>
    <w:tbl>
      <w:tblPr>
        <w:tblStyle w:val="TableGrid"/>
        <w:tblW w:w="14460" w:type="dxa"/>
        <w:tblLayout w:type="fixed"/>
        <w:tblLook w:val="0620" w:firstRow="1" w:lastRow="0" w:firstColumn="0" w:lastColumn="0" w:noHBand="1" w:noVBand="1"/>
      </w:tblPr>
      <w:tblGrid>
        <w:gridCol w:w="1702"/>
        <w:gridCol w:w="6798"/>
        <w:gridCol w:w="5960"/>
      </w:tblGrid>
      <w:tr w:rsidR="00B558DA" w:rsidRPr="00BF3F18" w:rsidTr="00035775">
        <w:trPr>
          <w:cantSplit/>
        </w:trPr>
        <w:tc>
          <w:tcPr>
            <w:tcW w:w="1702" w:type="dxa"/>
            <w:vAlign w:val="center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Action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 w:rsidR="001F5EB8"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 w:rsidR="00035775"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  <w:r w:rsidR="00035775">
              <w:rPr>
                <w:rFonts w:cs="Calibri"/>
                <w:b/>
                <w:sz w:val="22"/>
                <w:szCs w:val="22"/>
              </w:rPr>
              <w:t>*</w:t>
            </w:r>
          </w:p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i/>
                <w:sz w:val="22"/>
                <w:szCs w:val="22"/>
              </w:rPr>
            </w:pPr>
            <w:r w:rsidRPr="004F3E86">
              <w:rPr>
                <w:rFonts w:cs="Calibri"/>
                <w:i/>
                <w:sz w:val="22"/>
                <w:szCs w:val="22"/>
              </w:rPr>
              <w:t>NB.</w:t>
            </w:r>
            <w:r w:rsidR="00035775">
              <w:rPr>
                <w:rFonts w:cs="Calibri"/>
                <w:i/>
                <w:sz w:val="22"/>
                <w:szCs w:val="22"/>
              </w:rPr>
              <w:t xml:space="preserve"> T</w:t>
            </w:r>
            <w:r w:rsidRPr="004F3E86">
              <w:rPr>
                <w:rFonts w:cs="Calibri"/>
                <w:i/>
                <w:sz w:val="22"/>
                <w:szCs w:val="22"/>
              </w:rPr>
              <w:t xml:space="preserve">hese are not exhaustive lists and represent only potential </w:t>
            </w:r>
            <w:r>
              <w:rPr>
                <w:rFonts w:cs="Calibri"/>
                <w:i/>
                <w:sz w:val="22"/>
                <w:szCs w:val="22"/>
              </w:rPr>
              <w:t>ways</w:t>
            </w:r>
            <w:r w:rsidRPr="004F3E86">
              <w:rPr>
                <w:rFonts w:cs="Calibri"/>
                <w:i/>
                <w:sz w:val="22"/>
                <w:szCs w:val="22"/>
              </w:rPr>
              <w:t xml:space="preserve"> to complete the action. Some methods are explicit in the stated action so are not relisted</w:t>
            </w:r>
            <w:r w:rsidR="00035775">
              <w:rPr>
                <w:rFonts w:cs="Calibri"/>
                <w:i/>
                <w:sz w:val="22"/>
                <w:szCs w:val="22"/>
              </w:rPr>
              <w:t xml:space="preserve"> here.</w:t>
            </w:r>
          </w:p>
          <w:p w:rsidR="00035775" w:rsidRPr="00035775" w:rsidRDefault="00035775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i/>
                <w:sz w:val="22"/>
                <w:szCs w:val="22"/>
              </w:rPr>
            </w:pPr>
            <w:r w:rsidRPr="00035775">
              <w:rPr>
                <w:rFonts w:cs="Calibri"/>
                <w:i/>
                <w:sz w:val="22"/>
                <w:szCs w:val="22"/>
              </w:rPr>
              <w:t xml:space="preserve">The majority of actions will include some element of further investigation, data gathering, analysis, discussion, implementation and review therefore these aspects have not been specifically </w:t>
            </w:r>
            <w:r>
              <w:rPr>
                <w:rFonts w:cs="Calibri"/>
                <w:i/>
                <w:sz w:val="22"/>
                <w:szCs w:val="22"/>
              </w:rPr>
              <w:t>listed.</w:t>
            </w:r>
          </w:p>
        </w:tc>
      </w:tr>
      <w:tr w:rsidR="00035775" w:rsidRPr="00BF3F18" w:rsidTr="00035775">
        <w:trPr>
          <w:cantSplit/>
        </w:trPr>
        <w:tc>
          <w:tcPr>
            <w:tcW w:w="14460" w:type="dxa"/>
            <w:gridSpan w:val="3"/>
            <w:shd w:val="clear" w:color="auto" w:fill="DEEAF6" w:themeFill="accent1" w:themeFillTint="33"/>
          </w:tcPr>
          <w:p w:rsidR="00035775" w:rsidRPr="00035775" w:rsidRDefault="00035775" w:rsidP="00035775">
            <w:pPr>
              <w:spacing w:before="0" w:line="240" w:lineRule="auto"/>
              <w:ind w:left="34"/>
              <w:rPr>
                <w:rFonts w:eastAsia="Times New Roman" w:cs="Calibri"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</w:rPr>
              <w:t>SHORT TERM ACTIONS -</w:t>
            </w:r>
            <w:r w:rsidRPr="00035775">
              <w:rPr>
                <w:b/>
                <w:sz w:val="28"/>
                <w:szCs w:val="28"/>
              </w:rPr>
              <w:t xml:space="preserve"> already underway or to start </w:t>
            </w:r>
            <w:r>
              <w:rPr>
                <w:b/>
                <w:sz w:val="28"/>
                <w:szCs w:val="28"/>
              </w:rPr>
              <w:t>this year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5.1.5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Establish a </w:t>
            </w:r>
            <w:r>
              <w:rPr>
                <w:rFonts w:cs="Calibri"/>
                <w:b/>
                <w:sz w:val="22"/>
                <w:szCs w:val="22"/>
              </w:rPr>
              <w:t xml:space="preserve">departmental </w:t>
            </w:r>
            <w:r w:rsidRPr="00BF3F18">
              <w:rPr>
                <w:rFonts w:cs="Calibri"/>
                <w:b/>
                <w:sz w:val="22"/>
                <w:szCs w:val="22"/>
              </w:rPr>
              <w:t>promotion committee and evaluate its success in providing support through the entire process for all staff including systematic review of readines</w:t>
            </w:r>
            <w:r w:rsidR="001F5EB8">
              <w:rPr>
                <w:rFonts w:cs="Calibri"/>
                <w:b/>
                <w:sz w:val="22"/>
                <w:szCs w:val="22"/>
              </w:rPr>
              <w:t xml:space="preserve">s and unsuccessful applicants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all staff experience the promotion process as fair and transparent and are supported throughout the process.  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Review all staff for readiness for promotion, encourage those who could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to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apply.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Include as item for discussion in all PDRs.</w:t>
            </w:r>
          </w:p>
          <w:p w:rsidR="00B558DA" w:rsidRPr="00384AC4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>Establish a formal support system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 to include mentoring, support and monitoring of potential readiness for promotion. </w:t>
            </w: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3.5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Introduce new students and staff to AS Charter principles and Action Plan</w:t>
            </w:r>
            <w:r w:rsidR="001F5EB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all new staff and students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informed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about AS principles and the Departmental commitment.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Include AS in induction events, on website and social media.</w:t>
            </w:r>
          </w:p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5331DD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5331DD">
              <w:rPr>
                <w:rFonts w:cs="Calibri"/>
                <w:sz w:val="22"/>
                <w:szCs w:val="22"/>
              </w:rPr>
              <w:t>3.4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5331DD">
              <w:rPr>
                <w:rFonts w:cs="Calibri"/>
                <w:color w:val="FF0000"/>
                <w:sz w:val="22"/>
                <w:szCs w:val="22"/>
              </w:rPr>
              <w:t>HIGH PRIORITY</w:t>
            </w:r>
          </w:p>
        </w:tc>
        <w:tc>
          <w:tcPr>
            <w:tcW w:w="6798" w:type="dxa"/>
          </w:tcPr>
          <w:p w:rsidR="00B558DA" w:rsidRPr="001F5EB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  <w:lang w:val="en-US"/>
              </w:rPr>
            </w:pPr>
            <w:r w:rsidRPr="001F5EB8">
              <w:rPr>
                <w:rFonts w:cs="Calibri"/>
                <w:b/>
                <w:sz w:val="22"/>
                <w:szCs w:val="22"/>
                <w:lang w:val="en-US"/>
              </w:rPr>
              <w:t xml:space="preserve">Ensure all staff are recognized and rewarded for their contributions to SAT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5331DD">
              <w:rPr>
                <w:rFonts w:cs="Calibri"/>
                <w:i/>
                <w:sz w:val="22"/>
                <w:szCs w:val="22"/>
                <w:lang w:val="en-US"/>
              </w:rPr>
              <w:t>To ensure all SAT members receive recognition and reward.</w:t>
            </w:r>
          </w:p>
        </w:tc>
        <w:tc>
          <w:tcPr>
            <w:tcW w:w="5960" w:type="dxa"/>
          </w:tcPr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Review workload allocation points for academic staff.</w:t>
            </w:r>
          </w:p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Review ways to recognise</w:t>
            </w:r>
            <w:r w:rsidR="001F5EB8">
              <w:rPr>
                <w:rFonts w:cs="Calibri"/>
                <w:sz w:val="22"/>
                <w:szCs w:val="22"/>
              </w:rPr>
              <w:t xml:space="preserve"> PS, </w:t>
            </w:r>
            <w:r>
              <w:rPr>
                <w:rFonts w:cs="Calibri"/>
                <w:sz w:val="22"/>
                <w:szCs w:val="22"/>
              </w:rPr>
              <w:t>RA</w:t>
            </w:r>
            <w:r w:rsidR="001F5EB8">
              <w:rPr>
                <w:rFonts w:cs="Calibri"/>
                <w:sz w:val="22"/>
                <w:szCs w:val="22"/>
              </w:rPr>
              <w:t xml:space="preserve"> and student</w:t>
            </w:r>
            <w:r>
              <w:rPr>
                <w:rFonts w:cs="Calibri"/>
                <w:sz w:val="22"/>
                <w:szCs w:val="22"/>
              </w:rPr>
              <w:t xml:space="preserve"> involvement.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cs="Calibri"/>
                <w:sz w:val="22"/>
                <w:szCs w:val="22"/>
              </w:rPr>
              <w:t>4.1.1</w:t>
            </w:r>
          </w:p>
          <w:p w:rsidR="00B558DA" w:rsidRPr="005331DD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cs="Calibri"/>
                <w:b/>
                <w:color w:val="FF0000"/>
                <w:sz w:val="22"/>
                <w:szCs w:val="22"/>
              </w:rPr>
              <w:t>HIGH 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Indent"/>
              <w:widowControl w:val="0"/>
              <w:spacing w:before="120" w:line="240" w:lineRule="auto"/>
              <w:ind w:left="7" w:hanging="7"/>
              <w:rPr>
                <w:rFonts w:cs="Calibri"/>
                <w:b/>
                <w:szCs w:val="22"/>
              </w:rPr>
            </w:pPr>
            <w:r w:rsidRPr="00BF3F18">
              <w:rPr>
                <w:rFonts w:cs="Calibri"/>
                <w:b/>
                <w:szCs w:val="22"/>
              </w:rPr>
              <w:t>Implement and assess mechanisms to attract more applications from men to ou</w:t>
            </w:r>
            <w:r w:rsidR="001F5EB8">
              <w:rPr>
                <w:rFonts w:cs="Calibri"/>
                <w:b/>
                <w:szCs w:val="22"/>
              </w:rPr>
              <w:t xml:space="preserve">r UG </w:t>
            </w:r>
            <w:proofErr w:type="spellStart"/>
            <w:r w:rsidR="001F5EB8">
              <w:rPr>
                <w:rFonts w:cs="Calibri"/>
                <w:b/>
                <w:szCs w:val="22"/>
              </w:rPr>
              <w:t>programmes</w:t>
            </w:r>
            <w:proofErr w:type="spellEnd"/>
            <w:r w:rsidR="001F5EB8">
              <w:rPr>
                <w:rFonts w:cs="Calibri"/>
                <w:b/>
                <w:szCs w:val="22"/>
              </w:rPr>
              <w:t>, especially MCS</w:t>
            </w:r>
          </w:p>
          <w:p w:rsidR="00B558DA" w:rsidRPr="005331DD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improve understanding of why men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underrepresented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on our UG programmes, especially MCS and increase applications.</w:t>
            </w:r>
          </w:p>
        </w:tc>
        <w:tc>
          <w:tcPr>
            <w:tcW w:w="5960" w:type="dxa"/>
          </w:tcPr>
          <w:p w:rsidR="00B558DA" w:rsidRPr="005331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</w:rPr>
              <w:t>Ensure marketing material and strategies are attractive to all genders (review current practices and get feedback from students and applicants).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5.1.4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Indent"/>
              <w:widowControl w:val="0"/>
              <w:tabs>
                <w:tab w:val="clear" w:pos="567"/>
                <w:tab w:val="left" w:pos="335"/>
              </w:tabs>
              <w:spacing w:before="120" w:line="240" w:lineRule="auto"/>
              <w:ind w:left="130" w:hanging="130"/>
              <w:rPr>
                <w:rFonts w:cs="Calibri"/>
                <w:b/>
                <w:szCs w:val="22"/>
              </w:rPr>
            </w:pPr>
            <w:r w:rsidRPr="00BF3F18">
              <w:rPr>
                <w:rFonts w:cs="Calibri"/>
                <w:b/>
                <w:szCs w:val="22"/>
              </w:rPr>
              <w:t>Develop and implement a comprehens</w:t>
            </w:r>
            <w:r w:rsidR="00035775">
              <w:rPr>
                <w:rFonts w:cs="Calibri"/>
                <w:b/>
                <w:szCs w:val="22"/>
              </w:rPr>
              <w:t xml:space="preserve">ive induction </w:t>
            </w:r>
            <w:proofErr w:type="spellStart"/>
            <w:r w:rsidR="00035775">
              <w:rPr>
                <w:rFonts w:cs="Calibri"/>
                <w:b/>
                <w:szCs w:val="22"/>
              </w:rPr>
              <w:t>programme</w:t>
            </w:r>
            <w:proofErr w:type="spellEnd"/>
            <w:r w:rsidR="00035775">
              <w:rPr>
                <w:rFonts w:cs="Calibri"/>
                <w:b/>
                <w:szCs w:val="22"/>
              </w:rPr>
              <w:t xml:space="preserve"> for all </w:t>
            </w:r>
            <w:r w:rsidRPr="00BF3F18">
              <w:rPr>
                <w:rFonts w:cs="Calibri"/>
                <w:b/>
                <w:szCs w:val="22"/>
              </w:rPr>
              <w:t xml:space="preserve">new staff; record completion and assess staff experience.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the Department has a formal, consistently applied and effective induction programme. </w:t>
            </w:r>
          </w:p>
        </w:tc>
        <w:tc>
          <w:tcPr>
            <w:tcW w:w="5960" w:type="dxa"/>
          </w:tcPr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Review and improve current staff induction programme</w:t>
            </w: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incorporating </w:t>
            </w: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specificities</w:t>
            </w:r>
            <w:proofErr w:type="gramEnd"/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pertaining to varied needs of staff.</w:t>
            </w:r>
          </w:p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Welcome new staff through regular social events.</w:t>
            </w:r>
          </w:p>
          <w:p w:rsidR="00B558DA" w:rsidRPr="00C423CA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035775" w:rsidRPr="00BF3F18" w:rsidTr="00035775">
        <w:trPr>
          <w:cantSplit/>
        </w:trPr>
        <w:tc>
          <w:tcPr>
            <w:tcW w:w="1702" w:type="dxa"/>
          </w:tcPr>
          <w:p w:rsidR="00035775" w:rsidRPr="00BF3F18" w:rsidRDefault="00035775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5.6.1</w:t>
            </w:r>
          </w:p>
          <w:p w:rsidR="00035775" w:rsidRPr="00BF3F18" w:rsidRDefault="00035775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6798" w:type="dxa"/>
          </w:tcPr>
          <w:p w:rsidR="00035775" w:rsidRDefault="00035775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Initiate and participate in cross-Faculty activi</w:t>
            </w:r>
            <w:r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ties promoting gender equality </w:t>
            </w:r>
          </w:p>
          <w:p w:rsidR="00035775" w:rsidRPr="004F3E86" w:rsidRDefault="00035775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disseminate Departmental best practice around a culture of gender equality across the Institution.</w:t>
            </w:r>
          </w:p>
        </w:tc>
        <w:tc>
          <w:tcPr>
            <w:tcW w:w="5960" w:type="dxa"/>
          </w:tcPr>
          <w:p w:rsidR="00035775" w:rsidRDefault="00035775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Staff to p</w:t>
            </w:r>
            <w:r w:rsidRPr="00384AC4">
              <w:rPr>
                <w:rFonts w:eastAsia="Times New Roman" w:cs="Calibri"/>
                <w:sz w:val="22"/>
                <w:szCs w:val="22"/>
                <w:lang w:eastAsia="en-GB"/>
              </w:rPr>
              <w:t xml:space="preserve">articipate 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in faculty EDI committee and </w:t>
            </w:r>
            <w:proofErr w:type="gramStart"/>
            <w:r>
              <w:rPr>
                <w:rFonts w:eastAsia="Times New Roman" w:cs="Calibri"/>
                <w:sz w:val="22"/>
                <w:szCs w:val="22"/>
                <w:lang w:eastAsia="en-GB"/>
              </w:rPr>
              <w:t>University’s Women’s</w:t>
            </w:r>
            <w:proofErr w:type="gramEnd"/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 Network.</w:t>
            </w:r>
          </w:p>
          <w:p w:rsidR="00035775" w:rsidRPr="00384AC4" w:rsidRDefault="00035775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sz w:val="22"/>
                <w:szCs w:val="22"/>
                <w:lang w:eastAsia="en-GB"/>
              </w:rPr>
              <w:t>Host</w:t>
            </w:r>
            <w:r w:rsidRPr="00384AC4">
              <w:rPr>
                <w:rFonts w:eastAsia="Times New Roman" w:cs="Calibri"/>
                <w:sz w:val="22"/>
                <w:szCs w:val="22"/>
                <w:lang w:eastAsia="en-GB"/>
              </w:rPr>
              <w:t xml:space="preserve"> event per y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ear focused on gender equality and participate in cross-faculty events on </w:t>
            </w:r>
            <w:r w:rsidRPr="00384AC4">
              <w:rPr>
                <w:rFonts w:eastAsia="Times New Roman" w:cs="Calibri"/>
                <w:sz w:val="22"/>
                <w:szCs w:val="22"/>
                <w:lang w:eastAsia="en-GB"/>
              </w:rPr>
              <w:t>gender equality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>.</w:t>
            </w:r>
          </w:p>
          <w:p w:rsidR="00035775" w:rsidRPr="004F3E86" w:rsidRDefault="00035775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i/>
                <w:sz w:val="22"/>
                <w:szCs w:val="22"/>
              </w:rPr>
            </w:pPr>
            <w:r w:rsidRPr="00384AC4">
              <w:rPr>
                <w:rFonts w:eastAsia="Times New Roman" w:cs="Calibri"/>
                <w:sz w:val="22"/>
                <w:szCs w:val="22"/>
                <w:lang w:eastAsia="en-GB"/>
              </w:rPr>
              <w:t xml:space="preserve">Record and celebrate 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this participation.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7.1.2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Promote interaction between PS and academic staff and lobby the Institution to increase support for career progression of PS staff.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 xml:space="preserve">To promote a sense of equality and mutual respect between PS and Academic staff. </w:t>
            </w:r>
          </w:p>
        </w:tc>
        <w:tc>
          <w:tcPr>
            <w:tcW w:w="5960" w:type="dxa"/>
          </w:tcPr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Relocation of PS staff to large shared office. </w:t>
            </w:r>
          </w:p>
          <w:p w:rsidR="00B558DA" w:rsidRPr="00204E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 w:val="22"/>
                <w:szCs w:val="22"/>
              </w:rPr>
              <w:t xml:space="preserve">Encourage shared use of social spaces and inclusive social events.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4.1.6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Write and distribute a report on student experiences of mental distress and PGR study with recommendations for Institutional support mechanisms.  Implement recommendations at Departmental level and assess.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 xml:space="preserve">To </w:t>
            </w: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create a culture of understanding and support in relation to mental distress and PGR study.</w:t>
            </w:r>
          </w:p>
        </w:tc>
        <w:tc>
          <w:tcPr>
            <w:tcW w:w="5960" w:type="dxa"/>
          </w:tcPr>
          <w:p w:rsidR="00B558DA" w:rsidRPr="00204E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 w:themeColor="text1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4.1.3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Establish reasons for UG non-completion by gender; implement, and assess, mechanisms to reduce non-completion.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 xml:space="preserve">To improve understanding of reasons why students </w:t>
            </w:r>
            <w:proofErr w:type="gramStart"/>
            <w:r w:rsidRPr="00BF3F18">
              <w:rPr>
                <w:rFonts w:cs="Calibri"/>
                <w:i/>
                <w:sz w:val="22"/>
                <w:szCs w:val="22"/>
              </w:rPr>
              <w:t>don’t</w:t>
            </w:r>
            <w:proofErr w:type="gramEnd"/>
            <w:r w:rsidRPr="00BF3F18">
              <w:rPr>
                <w:rFonts w:cs="Calibri"/>
                <w:i/>
                <w:sz w:val="22"/>
                <w:szCs w:val="22"/>
              </w:rPr>
              <w:t xml:space="preserve"> complete and reduce non-completion rate.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Collect and analyse further data. </w:t>
            </w:r>
            <w:r w:rsidRPr="00BF3F18">
              <w:rPr>
                <w:rFonts w:cs="Calibri"/>
                <w:sz w:val="22"/>
                <w:szCs w:val="22"/>
              </w:rPr>
              <w:t xml:space="preserve"> Work with University Student Support and University College Tutors to develop processes to support students at risk of non-completion.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5.1.2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Request all staff to complete ‘Diversity in the Workplace’ training; regularly assess completion rates.</w:t>
            </w:r>
            <w:r w:rsidRPr="00BF3F18" w:rsidDel="00EB3CD7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 xml:space="preserve">To ensure all staff </w:t>
            </w:r>
            <w:proofErr w:type="gramStart"/>
            <w:r w:rsidRPr="00BF3F18">
              <w:rPr>
                <w:rFonts w:cs="Calibri"/>
                <w:i/>
                <w:sz w:val="22"/>
                <w:szCs w:val="22"/>
              </w:rPr>
              <w:t>are trained</w:t>
            </w:r>
            <w:proofErr w:type="gramEnd"/>
            <w:r w:rsidRPr="00BF3F18">
              <w:rPr>
                <w:rFonts w:cs="Calibri"/>
                <w:i/>
                <w:sz w:val="22"/>
                <w:szCs w:val="22"/>
              </w:rPr>
              <w:t xml:space="preserve"> in understanding diversity.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cs="Calibri"/>
                <w:sz w:val="22"/>
                <w:szCs w:val="22"/>
              </w:rPr>
              <w:t>5.1.1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70AD47" w:themeColor="accent6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color w:val="FFC000"/>
                <w:sz w:val="22"/>
                <w:szCs w:val="22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Request all staff to participate in ‘Recruiting the Best’ training;</w:t>
            </w:r>
            <w:r w:rsidRPr="00BF3F18">
              <w:rPr>
                <w:rFonts w:cs="Calibri"/>
                <w:b/>
                <w:sz w:val="22"/>
                <w:szCs w:val="22"/>
              </w:rPr>
              <w:t xml:space="preserve"> regularly assess completion rates.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i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widen the pool of recruitment panel chairs and members while ensuring all are aware of the potential impact of unconscious bias.</w:t>
            </w:r>
            <w:r w:rsidRPr="00BF3F18">
              <w:rPr>
                <w:rFonts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4.1.4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color w:val="70AD47" w:themeColor="accent6"/>
                <w:sz w:val="22"/>
                <w:szCs w:val="22"/>
              </w:rPr>
            </w:pPr>
            <w:r w:rsidRPr="00BF3F18">
              <w:rPr>
                <w:rFonts w:cs="Calibri"/>
                <w:b/>
                <w:color w:val="FFC000"/>
                <w:sz w:val="22"/>
                <w:szCs w:val="22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Indent"/>
              <w:widowControl w:val="0"/>
              <w:spacing w:before="120" w:line="240" w:lineRule="auto"/>
              <w:ind w:left="0"/>
              <w:rPr>
                <w:rFonts w:cs="Calibri"/>
                <w:b/>
                <w:szCs w:val="22"/>
              </w:rPr>
            </w:pPr>
            <w:r w:rsidRPr="00BF3F18">
              <w:rPr>
                <w:rFonts w:cs="Calibri"/>
                <w:b/>
                <w:szCs w:val="22"/>
              </w:rPr>
              <w:t xml:space="preserve">Implement and assess mechanisms to attract more applications from men to our PGT </w:t>
            </w:r>
            <w:proofErr w:type="spellStart"/>
            <w:r w:rsidRPr="00BF3F18">
              <w:rPr>
                <w:rFonts w:cs="Calibri"/>
                <w:b/>
                <w:szCs w:val="22"/>
              </w:rPr>
              <w:t>programmes</w:t>
            </w:r>
            <w:proofErr w:type="spellEnd"/>
            <w:r w:rsidRPr="00BF3F18">
              <w:rPr>
                <w:rFonts w:cs="Calibri"/>
                <w:b/>
                <w:szCs w:val="22"/>
              </w:rPr>
              <w:t>, especially MCS.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i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improve understanding of why men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underrepresented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on our PGT programmes, especially MCS, in order to increase applications from men.</w:t>
            </w:r>
          </w:p>
        </w:tc>
        <w:tc>
          <w:tcPr>
            <w:tcW w:w="5960" w:type="dxa"/>
          </w:tcPr>
          <w:p w:rsidR="00B558DA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Ensure marketing material and strategies are attractive to all genders (review current practices and get feedback from students and applicants).</w:t>
            </w:r>
          </w:p>
          <w:p w:rsidR="00B558DA" w:rsidRPr="00BF3F18" w:rsidRDefault="00B558DA" w:rsidP="00035775">
            <w:pPr>
              <w:pStyle w:val="BodyCopyInden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567"/>
                <w:tab w:val="left" w:pos="184"/>
              </w:tabs>
              <w:spacing w:before="120" w:line="240" w:lineRule="auto"/>
              <w:ind w:left="34"/>
              <w:rPr>
                <w:rFonts w:cs="Calibri"/>
                <w:szCs w:val="22"/>
              </w:rPr>
            </w:pPr>
            <w:proofErr w:type="spellStart"/>
            <w:r w:rsidRPr="00BF3F18">
              <w:rPr>
                <w:rFonts w:cs="Calibri"/>
                <w:szCs w:val="22"/>
              </w:rPr>
              <w:t>Organise</w:t>
            </w:r>
            <w:proofErr w:type="spellEnd"/>
            <w:r w:rsidRPr="00BF3F18">
              <w:rPr>
                <w:rFonts w:cs="Calibri"/>
                <w:szCs w:val="22"/>
              </w:rPr>
              <w:t xml:space="preserve"> an annual ‘Where are they now’ UG workshops, </w:t>
            </w:r>
            <w:proofErr w:type="gramStart"/>
            <w:r w:rsidRPr="00BF3F18">
              <w:rPr>
                <w:rFonts w:cs="Calibri"/>
                <w:szCs w:val="22"/>
              </w:rPr>
              <w:t>showcasing</w:t>
            </w:r>
            <w:proofErr w:type="gramEnd"/>
            <w:r w:rsidRPr="00BF3F18">
              <w:rPr>
                <w:rFonts w:cs="Calibri"/>
                <w:szCs w:val="22"/>
              </w:rPr>
              <w:t xml:space="preserve"> men and women alumni, focused on our PGT </w:t>
            </w:r>
            <w:proofErr w:type="spellStart"/>
            <w:r w:rsidRPr="00BF3F18">
              <w:rPr>
                <w:rFonts w:cs="Calibri"/>
                <w:szCs w:val="22"/>
              </w:rPr>
              <w:t>programmes</w:t>
            </w:r>
            <w:proofErr w:type="spellEnd"/>
            <w:r w:rsidRPr="00BF3F18">
              <w:rPr>
                <w:rFonts w:cs="Calibri"/>
                <w:szCs w:val="22"/>
              </w:rPr>
              <w:t xml:space="preserve"> and employability.</w:t>
            </w: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5.6.4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1F5EB8" w:rsidRDefault="00B558DA" w:rsidP="00035775">
            <w:pPr>
              <w:pStyle w:val="BodyCopyIndent"/>
              <w:widowControl w:val="0"/>
              <w:tabs>
                <w:tab w:val="clear" w:pos="567"/>
                <w:tab w:val="left" w:pos="993"/>
              </w:tabs>
              <w:spacing w:before="120" w:line="240" w:lineRule="auto"/>
              <w:ind w:left="0"/>
              <w:rPr>
                <w:rFonts w:cs="Calibri"/>
                <w:szCs w:val="22"/>
              </w:rPr>
            </w:pPr>
            <w:r w:rsidRPr="00BF3F18">
              <w:rPr>
                <w:rFonts w:cs="Calibri"/>
                <w:b/>
                <w:szCs w:val="22"/>
              </w:rPr>
              <w:t>Invite men to take on Departmental roles explicitly related to work on equalities (AS Lead, Equal Opportunities and Disabilities Lead, Mental Health Ambassador and Wellbeing Ambassador).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</w:rPr>
            </w:pPr>
            <w:r w:rsidRPr="00204EDD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5.6.8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Implement and assess a programme of regular, inclusive social events for academic and PS staff.</w:t>
            </w:r>
          </w:p>
          <w:p w:rsidR="00B558DA" w:rsidRPr="00BF3F18" w:rsidRDefault="00B558DA" w:rsidP="00035775">
            <w:pPr>
              <w:pStyle w:val="BodyCopyIndent"/>
              <w:widowControl w:val="0"/>
              <w:tabs>
                <w:tab w:val="clear" w:pos="567"/>
                <w:tab w:val="left" w:pos="993"/>
              </w:tabs>
              <w:spacing w:before="120" w:line="240" w:lineRule="auto"/>
              <w:ind w:left="1134" w:hanging="1134"/>
              <w:rPr>
                <w:rFonts w:cs="Calibri"/>
                <w:b/>
                <w:szCs w:val="22"/>
              </w:rPr>
            </w:pPr>
            <w:r w:rsidRPr="00BF3F18">
              <w:rPr>
                <w:rFonts w:cs="Calibri"/>
                <w:i/>
                <w:szCs w:val="22"/>
              </w:rPr>
              <w:t>To reduce sense of Departmental split between academics and PS staff.</w:t>
            </w:r>
          </w:p>
        </w:tc>
        <w:tc>
          <w:tcPr>
            <w:tcW w:w="5960" w:type="dxa"/>
          </w:tcPr>
          <w:p w:rsidR="00B558DA" w:rsidRPr="00204E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5.6.6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Evaluate and revise the annual workload document and model for gender equality.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workload is monitored and is gender equal.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Review the workload document at each refresh to ensure equity related to the points. </w:t>
            </w:r>
          </w:p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Ensure that pastoral and administrative roles </w:t>
            </w:r>
            <w:proofErr w:type="gramStart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are regularly rotated</w:t>
            </w:r>
            <w:proofErr w:type="gramEnd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and that the rotation is equitable in terms of gender. </w:t>
            </w:r>
          </w:p>
          <w:p w:rsidR="00B558DA" w:rsidRPr="00204E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>Develop fuller descriptions of service roles and handover notes to ensure that all staff know what is involved and are able to ensure continuity of service.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5.6.10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Record, review and assess student experiences of the outreach work of the Department in relation to gender diversity.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outreach work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is experienced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by students as gender diverse and promote equality.</w:t>
            </w:r>
          </w:p>
        </w:tc>
        <w:tc>
          <w:tcPr>
            <w:tcW w:w="5960" w:type="dxa"/>
          </w:tcPr>
          <w:p w:rsidR="00B558DA" w:rsidRPr="00204EDD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5.6.5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Increase number of women serving on influential committees external to the Department.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support women to take on leadership roles.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Formalise</w:t>
            </w:r>
            <w:proofErr w:type="spellEnd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 system of rotation/role sharing of representation on external committees.</w:t>
            </w:r>
          </w:p>
          <w:p w:rsidR="00B558DA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Celebrate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work of women in leadership roles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and encourage female colleagues to take on such roles. </w:t>
            </w:r>
          </w:p>
          <w:p w:rsidR="00B558DA" w:rsidRPr="00204EDD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>Form a Department women’s leadership group to share experiences and provide support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 xml:space="preserve">. </w:t>
            </w: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7.1.1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Ensure students and staff are aware that they can change their gender identity on their records.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promote gender self-identification, diversity and fluidity as a norm. </w:t>
            </w:r>
          </w:p>
        </w:tc>
        <w:tc>
          <w:tcPr>
            <w:tcW w:w="5960" w:type="dxa"/>
          </w:tcPr>
          <w:p w:rsidR="00B558DA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Work with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Student Registry and HR regarding records.</w:t>
            </w:r>
          </w:p>
          <w:p w:rsidR="00B558DA" w:rsidRPr="001C7703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Organise</w:t>
            </w:r>
            <w:proofErr w:type="spellEnd"/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annual </w:t>
            </w:r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cross-Faculty event focused on gender fluidity, diversity and non-binary genders. </w:t>
            </w:r>
          </w:p>
          <w:p w:rsidR="00B558DA" w:rsidRPr="00204EDD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Extend teaching about trans and non-binary genders across all </w:t>
            </w:r>
            <w:proofErr w:type="spellStart"/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programmes</w:t>
            </w:r>
            <w:proofErr w:type="spellEnd"/>
            <w:r w:rsidRPr="001C770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5.6.2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5331DD" w:rsidRDefault="00B558DA" w:rsidP="00035775">
            <w:pPr>
              <w:widowControl w:val="0"/>
              <w:tabs>
                <w:tab w:val="left" w:pos="21"/>
              </w:tabs>
              <w:spacing w:before="120" w:after="120" w:line="240" w:lineRule="auto"/>
              <w:ind w:left="21"/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</w:pPr>
            <w:r w:rsidRPr="005331DD">
              <w:rPr>
                <w:rFonts w:eastAsia="Times New Roman" w:cs="Calibri"/>
                <w:b/>
                <w:color w:val="000000" w:themeColor="text1"/>
                <w:sz w:val="22"/>
                <w:szCs w:val="22"/>
              </w:rPr>
              <w:t xml:space="preserve">Invite men in the Department to participate in Departmental gender equality events and activities; record participation and assess. 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all staff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invested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in AS principles and gender equality.</w:t>
            </w:r>
          </w:p>
        </w:tc>
        <w:tc>
          <w:tcPr>
            <w:tcW w:w="5960" w:type="dxa"/>
          </w:tcPr>
          <w:p w:rsidR="00B558DA" w:rsidRPr="00204EDD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5.6.3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Indent"/>
              <w:widowControl w:val="0"/>
              <w:tabs>
                <w:tab w:val="clear" w:pos="567"/>
                <w:tab w:val="left" w:pos="1418"/>
              </w:tabs>
              <w:spacing w:before="120" w:line="240" w:lineRule="auto"/>
              <w:ind w:left="0"/>
              <w:rPr>
                <w:rFonts w:cs="Calibri"/>
                <w:b/>
                <w:szCs w:val="22"/>
              </w:rPr>
            </w:pPr>
            <w:r w:rsidRPr="00BF3F18">
              <w:rPr>
                <w:rFonts w:cs="Calibri"/>
                <w:b/>
                <w:szCs w:val="22"/>
              </w:rPr>
              <w:t xml:space="preserve">Raise visibility of Departmental policy on staff-student and staff-staff relationships, and increase information about available support for those experiencing inappropriate </w:t>
            </w:r>
            <w:proofErr w:type="spellStart"/>
            <w:r w:rsidRPr="00BF3F18">
              <w:rPr>
                <w:rFonts w:cs="Calibri"/>
                <w:b/>
                <w:szCs w:val="22"/>
              </w:rPr>
              <w:t>behaviour</w:t>
            </w:r>
            <w:proofErr w:type="spellEnd"/>
            <w:r w:rsidRPr="00BF3F18">
              <w:rPr>
                <w:rFonts w:cs="Calibri"/>
                <w:b/>
                <w:szCs w:val="22"/>
              </w:rPr>
              <w:t>. Assess impact of actions.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all staff can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identify  bullying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, harassment and misconduct and there is Departmental zero-tolerance of inappropriate behaviour.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spellStart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Organise</w:t>
            </w:r>
            <w:proofErr w:type="spellEnd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 staff event with input from the Employee Assistance Programme and </w:t>
            </w:r>
            <w:proofErr w:type="gramStart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HR which</w:t>
            </w:r>
            <w:proofErr w:type="gramEnd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outlines how the Department defines ‘bullying’, ‘harassment’ and ‘sexual misconduct’ and explains how staff and students can report incidents or concerns.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5.1.3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Identify, and share across the Institution, Department past best practice in successfully attracting and appointing excellent women applicants to academic posts and assess impact.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better understand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the reasons why the Department has been exceptionally good at recruiting women academic staff.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all staff recruitment material.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Carry out interviews with women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appointed over the past 3 years. S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hare findings with EDI and HR staff in the Institution. </w:t>
            </w:r>
          </w:p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5.3.1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Indent"/>
              <w:widowControl w:val="0"/>
              <w:tabs>
                <w:tab w:val="clear" w:pos="567"/>
                <w:tab w:val="left" w:pos="322"/>
              </w:tabs>
              <w:spacing w:before="120" w:line="240" w:lineRule="auto"/>
              <w:ind w:left="38"/>
              <w:rPr>
                <w:rStyle w:val="None"/>
                <w:rFonts w:cs="Calibri"/>
                <w:b/>
                <w:bCs/>
                <w:szCs w:val="22"/>
              </w:rPr>
            </w:pPr>
            <w:r w:rsidRPr="00BF3F18">
              <w:rPr>
                <w:rStyle w:val="None"/>
                <w:rFonts w:cs="Calibri"/>
                <w:b/>
                <w:bCs/>
                <w:szCs w:val="22"/>
              </w:rPr>
              <w:t>Invite all staff to participate in at least one professional development event per year</w:t>
            </w:r>
            <w:proofErr w:type="gramStart"/>
            <w:r w:rsidRPr="00BF3F18">
              <w:rPr>
                <w:rStyle w:val="None"/>
                <w:rFonts w:cs="Calibri"/>
                <w:b/>
                <w:bCs/>
                <w:szCs w:val="22"/>
              </w:rPr>
              <w:t>;</w:t>
            </w:r>
            <w:proofErr w:type="gramEnd"/>
            <w:r w:rsidRPr="00BF3F18">
              <w:rPr>
                <w:rStyle w:val="None"/>
                <w:rFonts w:cs="Calibri"/>
                <w:b/>
                <w:bCs/>
                <w:szCs w:val="22"/>
              </w:rPr>
              <w:t xml:space="preserve"> record and assess participation rate.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increase the number of staff undertaking professional development.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5.3.3</w:t>
            </w:r>
          </w:p>
        </w:tc>
        <w:tc>
          <w:tcPr>
            <w:tcW w:w="6798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Style w:val="None"/>
                <w:rFonts w:cs="Calibri"/>
                <w:b/>
                <w:bCs/>
                <w:sz w:val="22"/>
                <w:szCs w:val="22"/>
              </w:rPr>
            </w:pPr>
            <w:r w:rsidRPr="00BF3F18">
              <w:rPr>
                <w:rStyle w:val="None"/>
                <w:rFonts w:cs="Calibri"/>
                <w:b/>
                <w:bCs/>
                <w:sz w:val="22"/>
                <w:szCs w:val="22"/>
              </w:rPr>
              <w:t xml:space="preserve">Ask Faculty PGR committee and University EDI committee to implement mechanisms for financial support for GTAs to complete compulsory ATP training. 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find out if there are ways to support GTAs financially to undertake compulsory training.</w:t>
            </w:r>
          </w:p>
        </w:tc>
        <w:tc>
          <w:tcPr>
            <w:tcW w:w="5960" w:type="dxa"/>
          </w:tcPr>
          <w:p w:rsidR="00B558DA" w:rsidRPr="00A57E96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5.5.1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pStyle w:val="BodyCopy"/>
              <w:widowControl w:val="0"/>
              <w:spacing w:before="120" w:line="240" w:lineRule="auto"/>
              <w:ind w:left="6"/>
              <w:rPr>
                <w:rFonts w:eastAsia="Times New Roman" w:cs="Calibri"/>
                <w:b/>
                <w:szCs w:val="22"/>
                <w:lang w:eastAsia="en-GB"/>
              </w:rPr>
            </w:pPr>
            <w:r w:rsidRPr="00BF3F18">
              <w:rPr>
                <w:rFonts w:cs="Calibri"/>
                <w:b/>
                <w:szCs w:val="22"/>
                <w:shd w:val="clear" w:color="auto" w:fill="FFFFFF"/>
              </w:rPr>
              <w:t xml:space="preserve">Initiate a new role of Departmental Wellbeing Ambassador and assess staff awareness of the role. </w:t>
            </w:r>
            <w:r w:rsidRPr="00BF3F18">
              <w:rPr>
                <w:rFonts w:eastAsia="Times New Roman" w:cs="Calibri"/>
                <w:b/>
                <w:szCs w:val="22"/>
                <w:lang w:eastAsia="en-GB"/>
              </w:rPr>
              <w:t xml:space="preserve"> </w:t>
            </w:r>
          </w:p>
          <w:p w:rsidR="00B558DA" w:rsidRPr="00BF3F18" w:rsidDel="007D12C4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raise visibility of, and increase value of, attention to staff wellbeing. 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960" w:type="dxa"/>
          </w:tcPr>
          <w:p w:rsidR="00B558DA" w:rsidRPr="00A57E96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This role could </w:t>
            </w:r>
            <w:r w:rsidRPr="00A57E9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offer weekly ‘surgeries’ to all staff and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students to respond to queries and initiate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targeted wellbeing campaign (e.g. ‘Desk-less Lunch’, ‘Coffee get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together’, ‘Walking Meetings’.</w:t>
            </w:r>
          </w:p>
        </w:tc>
      </w:tr>
      <w:tr w:rsidR="001F5EB8" w:rsidRPr="001F5EB8" w:rsidTr="00035775">
        <w:trPr>
          <w:cantSplit/>
        </w:trPr>
        <w:tc>
          <w:tcPr>
            <w:tcW w:w="14460" w:type="dxa"/>
            <w:gridSpan w:val="3"/>
            <w:shd w:val="clear" w:color="auto" w:fill="DEEAF6" w:themeFill="accent1" w:themeFillTint="33"/>
          </w:tcPr>
          <w:p w:rsidR="001F5EB8" w:rsidRPr="001F5EB8" w:rsidRDefault="001F5EB8" w:rsidP="00035775">
            <w:pPr>
              <w:pStyle w:val="ListParagraph"/>
              <w:keepNext/>
              <w:keepLines/>
              <w:widowControl w:val="0"/>
              <w:spacing w:before="120" w:after="120" w:line="240" w:lineRule="auto"/>
              <w:ind w:left="34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</w:pPr>
            <w:r w:rsidRPr="001F5EB8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MEDIUM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 xml:space="preserve"> – LONG</w:t>
            </w:r>
            <w:r w:rsidR="00035775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>ER</w:t>
            </w:r>
            <w:r w:rsidRPr="001F5EB8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GB"/>
              </w:rPr>
              <w:t xml:space="preserve"> TERM ACTIONS</w:t>
            </w:r>
          </w:p>
        </w:tc>
      </w:tr>
      <w:tr w:rsidR="001F5EB8" w:rsidRPr="00BF3F18" w:rsidTr="00035775">
        <w:trPr>
          <w:cantSplit/>
        </w:trPr>
        <w:tc>
          <w:tcPr>
            <w:tcW w:w="1702" w:type="dxa"/>
          </w:tcPr>
          <w:p w:rsidR="001F5EB8" w:rsidRPr="00BF3F18" w:rsidRDefault="001F5EB8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4.1.5</w:t>
            </w:r>
          </w:p>
          <w:p w:rsidR="001F5EB8" w:rsidRPr="00BF3F18" w:rsidRDefault="001F5EB8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1F5EB8" w:rsidRPr="00BF3F18" w:rsidRDefault="001F5EB8" w:rsidP="00035775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Review and change timetabling requests* to better enable PGT students to study alongside caring and other life commitments and assess impact of changes. </w:t>
            </w:r>
          </w:p>
          <w:p w:rsidR="001F5EB8" w:rsidRPr="00BF3F18" w:rsidRDefault="001F5EB8" w:rsidP="00035775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sz w:val="22"/>
                <w:szCs w:val="22"/>
              </w:rPr>
            </w:pPr>
            <w:r w:rsidRPr="00BF3F18">
              <w:rPr>
                <w:rFonts w:cs="Calibri"/>
                <w:sz w:val="22"/>
                <w:szCs w:val="22"/>
              </w:rPr>
              <w:t xml:space="preserve">(*All timetabling </w:t>
            </w:r>
            <w:proofErr w:type="gramStart"/>
            <w:r w:rsidRPr="00BF3F18">
              <w:rPr>
                <w:rFonts w:cs="Calibri"/>
                <w:sz w:val="22"/>
                <w:szCs w:val="22"/>
              </w:rPr>
              <w:t>is done</w:t>
            </w:r>
            <w:proofErr w:type="gramEnd"/>
            <w:r w:rsidRPr="00BF3F18">
              <w:rPr>
                <w:rFonts w:cs="Calibri"/>
                <w:sz w:val="22"/>
                <w:szCs w:val="22"/>
              </w:rPr>
              <w:t xml:space="preserve"> centrally.)</w:t>
            </w:r>
          </w:p>
          <w:p w:rsidR="001F5EB8" w:rsidRPr="001F5EB8" w:rsidRDefault="001F5EB8" w:rsidP="00035775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i/>
                <w:sz w:val="22"/>
                <w:szCs w:val="22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 xml:space="preserve">To improve PGT timetabling to ensure our programmes are accessible to all students. </w:t>
            </w:r>
          </w:p>
        </w:tc>
        <w:tc>
          <w:tcPr>
            <w:tcW w:w="5960" w:type="dxa"/>
          </w:tcPr>
          <w:p w:rsidR="001F5EB8" w:rsidRDefault="001F5EB8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Review departmental timetabling requests</w:t>
            </w:r>
          </w:p>
          <w:p w:rsidR="001F5EB8" w:rsidRDefault="001F5EB8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Develop inclusive teaching formats</w:t>
            </w:r>
          </w:p>
          <w:p w:rsidR="001F5EB8" w:rsidRPr="00BF3F18" w:rsidRDefault="001F5EB8" w:rsidP="00035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E</w:t>
            </w: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nsure University is aware of the</w:t>
            </w:r>
            <w:r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 xml:space="preserve"> impact of timetabling policies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5.6.9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Record, review and assess gender of speakers at our events</w:t>
            </w:r>
            <w:r>
              <w:rPr>
                <w:rFonts w:cs="Calibri"/>
                <w:b/>
                <w:sz w:val="22"/>
                <w:szCs w:val="22"/>
              </w:rPr>
              <w:t>, including recruitment events</w:t>
            </w:r>
            <w:r w:rsidRPr="00BF3F18">
              <w:rPr>
                <w:rFonts w:cs="Calibri"/>
                <w:b/>
                <w:sz w:val="22"/>
                <w:szCs w:val="22"/>
              </w:rPr>
              <w:t>.</w:t>
            </w: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diverse range of role models </w:t>
            </w:r>
            <w:proofErr w:type="gramStart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represented</w:t>
            </w:r>
            <w:proofErr w:type="gramEnd"/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at Departmental events.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5.3.5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Implement and assess gendered mentoring for women staff.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i/>
                <w:sz w:val="22"/>
                <w:szCs w:val="22"/>
              </w:rPr>
              <w:t>To increase number of women accessing mentoring.</w:t>
            </w:r>
          </w:p>
        </w:tc>
        <w:tc>
          <w:tcPr>
            <w:tcW w:w="5960" w:type="dxa"/>
          </w:tcPr>
          <w:p w:rsidR="00B558DA" w:rsidRPr="00A57E96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5.3.7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Record and assess (with the Research Support Office) future  patterns in funding awards, success rates and average award value for gender bias; develop and assess appropriate mechanisms to prevent any bias.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i/>
                <w:sz w:val="22"/>
                <w:szCs w:val="22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understand the reasons for the gender differences in staff funding success and award value and prevent bias.</w:t>
            </w: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960" w:type="dxa"/>
          </w:tcPr>
          <w:p w:rsidR="00B558DA" w:rsidRPr="00A57E96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5.3.6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Increase, record and assess the number of staff trained as mentees and the number of staff </w:t>
            </w:r>
            <w:proofErr w:type="gramStart"/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being mentored</w:t>
            </w:r>
            <w:proofErr w:type="gramEnd"/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.  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Georgia" w:cs="Calibri"/>
                <w:i/>
                <w:sz w:val="22"/>
                <w:szCs w:val="22"/>
              </w:rPr>
              <w:t xml:space="preserve">To ensure staff of all genders (academic and PS) can access an even, flexible, personable and effective mentoring programme. 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Develop a Departmental database of un/trained mentors and mentees by gender, by grade and by role. </w:t>
            </w:r>
          </w:p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Encourage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staff to complete ‘Coaching at Lancaster’ training to become mentors.</w:t>
            </w:r>
            <w:r w:rsidRPr="00BF3F18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5.3.4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Review, develop and assess PDR practices to ensure they </w:t>
            </w:r>
            <w:proofErr w:type="gramStart"/>
            <w:r w:rsidRPr="00BF3F18">
              <w:rPr>
                <w:rFonts w:cs="Calibri"/>
                <w:b/>
                <w:sz w:val="22"/>
                <w:szCs w:val="22"/>
              </w:rPr>
              <w:t>are  experienced</w:t>
            </w:r>
            <w:proofErr w:type="gramEnd"/>
            <w:r w:rsidRPr="00BF3F18">
              <w:rPr>
                <w:rFonts w:cs="Calibri"/>
                <w:b/>
                <w:sz w:val="22"/>
                <w:szCs w:val="22"/>
              </w:rPr>
              <w:t xml:space="preserve"> as supportive and useful by all staff.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all staff experience the PDR as useful. </w:t>
            </w:r>
          </w:p>
        </w:tc>
        <w:tc>
          <w:tcPr>
            <w:tcW w:w="5960" w:type="dxa"/>
          </w:tcPr>
          <w:p w:rsidR="00B558DA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Develop new guidance for the completion of Department PDRs to promote it as a supportive process rather than evaluative. </w:t>
            </w:r>
          </w:p>
          <w:p w:rsidR="00B558DA" w:rsidRPr="00A57E96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Ensure all reviewers are trained in PDR process and mentoring.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5.5.2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Develop and assess a Departmental breastfeeding policy and </w:t>
            </w:r>
            <w:proofErr w:type="gramStart"/>
            <w:r w:rsidRPr="00BF3F18">
              <w:rPr>
                <w:rFonts w:cs="Calibri"/>
                <w:b/>
                <w:sz w:val="22"/>
                <w:szCs w:val="22"/>
              </w:rPr>
              <w:t>feed  to</w:t>
            </w:r>
            <w:proofErr w:type="gramEnd"/>
            <w:r w:rsidRPr="00BF3F18">
              <w:rPr>
                <w:rFonts w:cs="Calibri"/>
                <w:b/>
                <w:sz w:val="22"/>
                <w:szCs w:val="22"/>
              </w:rPr>
              <w:t xml:space="preserve"> Faculty EDI Committee.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support staff (and students) preparing for, and during, breastfeeding and/or pumping when in the department</w:t>
            </w: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Gather feedback from staff on breastfeeding and pumping policy and experiences, including identification of changes needed to address needs and improvement related to University policy. </w:t>
            </w:r>
          </w:p>
          <w:p w:rsidR="00B558DA" w:rsidRPr="00A57E96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Develop departmental list of breastfeeding </w:t>
            </w:r>
            <w:proofErr w:type="gramStart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buddies</w:t>
            </w:r>
            <w:proofErr w:type="gramEnd"/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who have experience of breastfeed/pumping when returning to work/study.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5.5.3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Develop and assess Departmental support for those receiving fertility treatment and share with EDI Committee.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support staff preparing for, and during, fertility treatment.</w:t>
            </w:r>
          </w:p>
        </w:tc>
        <w:tc>
          <w:tcPr>
            <w:tcW w:w="5960" w:type="dxa"/>
          </w:tcPr>
          <w:p w:rsidR="00B558DA" w:rsidRPr="00DC75C0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5.5.4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Provide a statement to the EDI Committee to encourage the University to develop a policy around compassionate leave for those who experience miscarriage and stillbirth and assess impact of the statement.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clarify compassionate leave provision  for staff who experience miscarriage and stillbirth 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>Conduct feedback sessions with relevant Departmental staff around how to improve the clarity and quality of University policy around compassionate leave follow</w:t>
            </w:r>
            <w:r>
              <w:rPr>
                <w:rFonts w:eastAsia="Times New Roman" w:cs="Calibri"/>
                <w:sz w:val="22"/>
                <w:szCs w:val="22"/>
                <w:lang w:eastAsia="en-GB"/>
              </w:rPr>
              <w:t>ing miscarriage and stillbirth and develop a departmental statement.</w:t>
            </w:r>
            <w:r w:rsidRPr="006B44BF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5.5.5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sz w:val="22"/>
                <w:szCs w:val="22"/>
                <w:lang w:eastAsia="en-GB"/>
              </w:rPr>
              <w:t>Carry out a focus group with parents about reasons for low up-take of KIT Days; (if necessary)</w:t>
            </w:r>
            <w:r>
              <w:rPr>
                <w:rFonts w:eastAsia="Times New Roman" w:cs="Calibri"/>
                <w:b/>
                <w:sz w:val="22"/>
                <w:szCs w:val="22"/>
                <w:lang w:eastAsia="en-GB"/>
              </w:rPr>
              <w:t xml:space="preserve"> </w:t>
            </w:r>
            <w:r w:rsidRPr="00BF3F18">
              <w:rPr>
                <w:rFonts w:eastAsia="Times New Roman" w:cs="Calibri"/>
                <w:b/>
                <w:sz w:val="22"/>
                <w:szCs w:val="22"/>
                <w:lang w:eastAsia="en-GB"/>
              </w:rPr>
              <w:t xml:space="preserve">develop and assess mechanisms to encourage take-up.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understand reasons for low take-up of KIT Days and determine need for further action.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5.5.8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Implement mechanisms to inform and support staff about flexible working</w:t>
            </w:r>
            <w:proofErr w:type="gramStart"/>
            <w:r w:rsidRPr="00BF3F18">
              <w:rPr>
                <w:rFonts w:cs="Calibri"/>
                <w:b/>
                <w:sz w:val="22"/>
                <w:szCs w:val="22"/>
              </w:rPr>
              <w:t>;</w:t>
            </w:r>
            <w:proofErr w:type="gramEnd"/>
            <w:r w:rsidRPr="00BF3F18">
              <w:rPr>
                <w:rFonts w:cs="Calibri"/>
                <w:b/>
                <w:sz w:val="22"/>
                <w:szCs w:val="22"/>
              </w:rPr>
              <w:t xml:space="preserve"> how to make requests, various options and the possible implications. Assess their impact</w:t>
            </w: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>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staff feel informed and able to request changes to their working hours. 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5.5.7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hd w:val="clear" w:color="auto" w:fill="FFFFFF"/>
              <w:spacing w:before="120" w:after="120" w:line="240" w:lineRule="auto"/>
              <w:ind w:left="7"/>
              <w:rPr>
                <w:rFonts w:eastAsia="Times New Roman" w:cs="Calibri"/>
                <w:b/>
                <w:sz w:val="22"/>
                <w:szCs w:val="22"/>
              </w:rPr>
            </w:pPr>
            <w:r w:rsidRPr="00BF3F18">
              <w:rPr>
                <w:rFonts w:eastAsia="Times New Roman" w:cs="Calibri"/>
                <w:b/>
                <w:sz w:val="22"/>
                <w:szCs w:val="22"/>
                <w:lang w:eastAsia="en-GB"/>
              </w:rPr>
              <w:t xml:space="preserve">Carry out a focus group with PGR students to explore ways to alleviate their costs for pre-school childcare. Share findings with Faculty PG and EDI Committee and assess impact.  </w:t>
            </w:r>
            <w:r w:rsidRPr="00BF3F18">
              <w:rPr>
                <w:rFonts w:eastAsia="Times New Roman" w:cs="Calibri"/>
                <w:sz w:val="22"/>
                <w:szCs w:val="22"/>
                <w:lang w:eastAsia="en-GB"/>
              </w:rPr>
              <w:t xml:space="preserve"> </w:t>
            </w:r>
            <w:r w:rsidRPr="00BF3F18">
              <w:rPr>
                <w:rFonts w:eastAsia="Times New Roman" w:cs="Calibri"/>
                <w:b/>
                <w:sz w:val="22"/>
                <w:szCs w:val="22"/>
                <w:lang w:eastAsia="en-GB"/>
              </w:rPr>
              <w:t xml:space="preserve">  </w:t>
            </w:r>
          </w:p>
          <w:p w:rsidR="00B558DA" w:rsidRPr="00BF3F18" w:rsidRDefault="00B558DA" w:rsidP="00035775">
            <w:pPr>
              <w:widowControl w:val="0"/>
              <w:shd w:val="clear" w:color="auto" w:fill="FFFFFF"/>
              <w:spacing w:before="120" w:after="120" w:line="240" w:lineRule="auto"/>
              <w:ind w:left="7"/>
              <w:rPr>
                <w:rFonts w:eastAsia="Times New Roman" w:cs="Calibri"/>
                <w:b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support PGR parents of pre-school children to progress their careers.   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</w:p>
        </w:tc>
      </w:tr>
      <w:tr w:rsidR="00675966" w:rsidRPr="00BF3F18" w:rsidTr="00675966">
        <w:trPr>
          <w:cantSplit/>
        </w:trPr>
        <w:tc>
          <w:tcPr>
            <w:tcW w:w="1702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lastRenderedPageBreak/>
              <w:t>Action</w:t>
            </w:r>
          </w:p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Point</w:t>
            </w:r>
            <w:r>
              <w:rPr>
                <w:rFonts w:cs="Calibri"/>
                <w:b/>
                <w:sz w:val="22"/>
                <w:szCs w:val="22"/>
              </w:rPr>
              <w:t xml:space="preserve"> reference</w:t>
            </w:r>
          </w:p>
        </w:tc>
        <w:tc>
          <w:tcPr>
            <w:tcW w:w="6798" w:type="dxa"/>
            <w:vAlign w:val="center"/>
          </w:tcPr>
          <w:p w:rsidR="00675966" w:rsidRPr="00BF3F18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 xml:space="preserve">Action </w:t>
            </w:r>
            <w:r>
              <w:rPr>
                <w:rFonts w:cs="Calibri"/>
                <w:b/>
                <w:sz w:val="22"/>
                <w:szCs w:val="22"/>
              </w:rPr>
              <w:t xml:space="preserve">and </w:t>
            </w:r>
            <w:r w:rsidRPr="00BF3F18">
              <w:rPr>
                <w:rFonts w:cs="Calibri"/>
                <w:b/>
                <w:i/>
                <w:sz w:val="22"/>
                <w:szCs w:val="22"/>
              </w:rPr>
              <w:t>Rationale</w:t>
            </w:r>
            <w:r>
              <w:rPr>
                <w:rFonts w:cs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Proposed ways to complete the action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color w:val="70AD47" w:themeColor="accent6"/>
                <w:sz w:val="22"/>
                <w:szCs w:val="22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3.1</w:t>
            </w:r>
            <w:r w:rsidRPr="00BF3F18">
              <w:rPr>
                <w:rFonts w:cs="Calibri"/>
                <w:b/>
                <w:color w:val="70AD47" w:themeColor="accent6"/>
                <w:sz w:val="22"/>
                <w:szCs w:val="22"/>
              </w:rPr>
              <w:t xml:space="preserve"> 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B05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color w:val="FF0000"/>
                <w:sz w:val="22"/>
                <w:szCs w:val="22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Implement and assess digital mechanisms to raise the profile of AS in the Department 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increase staff and student awareness of AS principles and Departmental Action Plan. </w:t>
            </w:r>
          </w:p>
          <w:p w:rsidR="00B558DA" w:rsidRPr="00BF3F18" w:rsidRDefault="00B558DA" w:rsidP="00675966">
            <w:pPr>
              <w:keepNext/>
              <w:keepLines/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960" w:type="dxa"/>
          </w:tcPr>
          <w:p w:rsidR="00B558DA" w:rsidRPr="00BF3F18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Add public-facing version of application to Departmental AS webpage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, regularly updating </w:t>
            </w:r>
            <w:r w:rsidRPr="00BF3F18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with progress on Action Plan. </w:t>
            </w:r>
            <w:r w:rsidR="0067596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Social Media posts related to charter</w:t>
            </w:r>
          </w:p>
          <w:p w:rsidR="00B558DA" w:rsidRPr="006B44BF" w:rsidRDefault="00B558DA" w:rsidP="00675966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  <w:t xml:space="preserve">Develop regular student interaction with departmental social media with posts </w:t>
            </w:r>
            <w:r w:rsidRPr="006B44BF">
              <w:rPr>
                <w:rFonts w:eastAsia="Times New Roman" w:cs="Calibri"/>
                <w:sz w:val="22"/>
                <w:szCs w:val="22"/>
                <w:lang w:eastAsia="en-GB"/>
              </w:rPr>
              <w:t>specifically aimed at students who identify as; men; women; non-binary or</w:t>
            </w:r>
            <w:r w:rsidR="00675966">
              <w:rPr>
                <w:rFonts w:eastAsia="Times New Roman" w:cs="Calibri"/>
                <w:sz w:val="22"/>
                <w:szCs w:val="22"/>
                <w:lang w:eastAsia="en-GB"/>
              </w:rPr>
              <w:t xml:space="preserve"> Trans.</w:t>
            </w: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5.6.7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cs="Calibri"/>
                <w:b/>
                <w:sz w:val="22"/>
                <w:szCs w:val="22"/>
              </w:rPr>
              <w:t>Train all Chairs of meetings to keep to scheduled planned meeting hours</w:t>
            </w:r>
            <w:proofErr w:type="gramStart"/>
            <w:r w:rsidRPr="00BF3F18">
              <w:rPr>
                <w:rFonts w:cs="Calibri"/>
                <w:b/>
                <w:sz w:val="22"/>
                <w:szCs w:val="22"/>
              </w:rPr>
              <w:t>;</w:t>
            </w:r>
            <w:proofErr w:type="gramEnd"/>
            <w:r w:rsidRPr="00BF3F18">
              <w:rPr>
                <w:rFonts w:cs="Calibri"/>
                <w:b/>
                <w:sz w:val="22"/>
                <w:szCs w:val="22"/>
              </w:rPr>
              <w:t xml:space="preserve"> monitor and assess when the meetings run over.   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maintain core working hours. 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cs="Calibri"/>
                <w:sz w:val="22"/>
                <w:szCs w:val="22"/>
                <w:lang w:eastAsia="en-GB"/>
              </w:rPr>
            </w:pPr>
          </w:p>
        </w:tc>
      </w:tr>
      <w:tr w:rsidR="00B558DA" w:rsidRPr="00BF3F18" w:rsidTr="00035775">
        <w:trPr>
          <w:cantSplit/>
        </w:trPr>
        <w:tc>
          <w:tcPr>
            <w:tcW w:w="1702" w:type="dxa"/>
          </w:tcPr>
          <w:p w:rsidR="00B558DA" w:rsidRPr="005331DD" w:rsidRDefault="00B558DA" w:rsidP="00035775">
            <w:pPr>
              <w:widowControl w:val="0"/>
            </w:pPr>
            <w:r w:rsidRPr="005331DD">
              <w:t>3.3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5331DD">
              <w:rPr>
                <w:b/>
              </w:rPr>
              <w:t>MEDIUM PRIORITY</w:t>
            </w:r>
          </w:p>
        </w:tc>
        <w:tc>
          <w:tcPr>
            <w:tcW w:w="6798" w:type="dxa"/>
          </w:tcPr>
          <w:p w:rsidR="00B558DA" w:rsidRPr="00F259CA" w:rsidRDefault="00B558DA" w:rsidP="00035775">
            <w:pPr>
              <w:widowControl w:val="0"/>
              <w:rPr>
                <w:b/>
                <w:sz w:val="22"/>
                <w:szCs w:val="22"/>
              </w:rPr>
            </w:pPr>
            <w:r w:rsidRPr="00F259CA">
              <w:rPr>
                <w:b/>
                <w:sz w:val="22"/>
                <w:szCs w:val="22"/>
              </w:rPr>
              <w:t>Review, refresh and revitalise SAT membership annually and ensure it is representative.</w:t>
            </w:r>
          </w:p>
          <w:p w:rsidR="00B558DA" w:rsidRPr="00BF3F18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F259CA">
              <w:rPr>
                <w:i/>
                <w:sz w:val="22"/>
                <w:szCs w:val="22"/>
              </w:rPr>
              <w:t>To ensure SAT membership is representative of the Department and that all SAT members are AS trained.</w:t>
            </w:r>
            <w:r w:rsidRPr="005331DD">
              <w:rPr>
                <w:i/>
              </w:rPr>
              <w:t xml:space="preserve">  </w:t>
            </w:r>
          </w:p>
        </w:tc>
        <w:tc>
          <w:tcPr>
            <w:tcW w:w="5960" w:type="dxa"/>
          </w:tcPr>
          <w:p w:rsidR="00675966" w:rsidRDefault="00B558DA" w:rsidP="00675966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6B44BF">
              <w:rPr>
                <w:rFonts w:eastAsia="Times New Roman" w:cs="Calibri"/>
                <w:sz w:val="22"/>
                <w:szCs w:val="22"/>
                <w:lang w:eastAsia="en-GB"/>
              </w:rPr>
              <w:t xml:space="preserve">Review membership annually and monitor representativeness </w:t>
            </w:r>
          </w:p>
          <w:p w:rsidR="00B558DA" w:rsidRPr="006B44BF" w:rsidRDefault="00B558DA" w:rsidP="00675966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6B44BF">
              <w:rPr>
                <w:rFonts w:eastAsia="Times New Roman" w:cs="Calibri"/>
                <w:sz w:val="22"/>
                <w:szCs w:val="22"/>
                <w:lang w:eastAsia="en-GB"/>
              </w:rPr>
              <w:t xml:space="preserve">Develop, implement and assess an annual (re)induction about SAT principles, data locations, practices of analysis, the Action Plan and Departmental progress in implementation for all SAT members to undergo. </w:t>
            </w: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BF3F18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BF3F18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4.2.2</w:t>
            </w:r>
          </w:p>
          <w:p w:rsidR="00B558DA" w:rsidRPr="005331DD" w:rsidRDefault="00B558DA" w:rsidP="00675966">
            <w:pPr>
              <w:widowControl w:val="0"/>
            </w:pPr>
            <w:r w:rsidRPr="00BF3F18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675966" w:rsidRDefault="00B558DA" w:rsidP="00675966">
            <w:pPr>
              <w:pStyle w:val="BodyCopyIndent"/>
              <w:widowControl w:val="0"/>
              <w:spacing w:before="120" w:line="240" w:lineRule="auto"/>
              <w:ind w:left="0"/>
              <w:rPr>
                <w:rFonts w:cs="Calibri"/>
                <w:b/>
                <w:szCs w:val="22"/>
              </w:rPr>
            </w:pPr>
            <w:r w:rsidRPr="00BF3F18">
              <w:rPr>
                <w:rFonts w:eastAsia="Times New Roman" w:cs="Calibri"/>
                <w:b/>
                <w:szCs w:val="22"/>
                <w:lang w:eastAsia="en-GB"/>
              </w:rPr>
              <w:t xml:space="preserve">Initiate </w:t>
            </w:r>
            <w:r w:rsidRPr="00BF3F18">
              <w:rPr>
                <w:rFonts w:cs="Calibri"/>
                <w:b/>
                <w:szCs w:val="22"/>
              </w:rPr>
              <w:t xml:space="preserve">and evaluate a formal ‘exit interview’ process; record data, review annually and implement and assess actions to combat reasons related to inequalities.   </w:t>
            </w:r>
          </w:p>
          <w:p w:rsidR="00B558DA" w:rsidRPr="00675966" w:rsidRDefault="00B558DA" w:rsidP="00675966">
            <w:pPr>
              <w:pStyle w:val="BodyCopyIndent"/>
              <w:widowControl w:val="0"/>
              <w:spacing w:before="120" w:line="240" w:lineRule="auto"/>
              <w:ind w:left="0"/>
              <w:rPr>
                <w:rFonts w:cs="Calibri"/>
                <w:b/>
                <w:szCs w:val="22"/>
              </w:rPr>
            </w:pPr>
            <w:r w:rsidRPr="00BF3F18">
              <w:rPr>
                <w:rFonts w:eastAsia="Times New Roman" w:cs="Calibri"/>
                <w:i/>
                <w:szCs w:val="22"/>
                <w:lang w:eastAsia="en-GB"/>
              </w:rPr>
              <w:t xml:space="preserve">To gather meaningful data about academic leavers and identify and act on any gender issues. </w:t>
            </w:r>
          </w:p>
        </w:tc>
        <w:tc>
          <w:tcPr>
            <w:tcW w:w="5960" w:type="dxa"/>
          </w:tcPr>
          <w:p w:rsidR="00B558DA" w:rsidRPr="006B44BF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sz w:val="22"/>
                <w:szCs w:val="22"/>
                <w:lang w:eastAsia="en-GB"/>
              </w:rPr>
              <w:t>Introduce a systematic formal ‘exit interview’ departmental process, including an interview with all staff who leave.</w:t>
            </w:r>
            <w:r w:rsidRPr="00BF3F18">
              <w:rPr>
                <w:rFonts w:eastAsia="Times New Roman" w:cs="Calibri"/>
                <w:szCs w:val="22"/>
                <w:lang w:eastAsia="en-GB"/>
              </w:rPr>
              <w:t xml:space="preserve"> </w:t>
            </w: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1"/>
                <w:szCs w:val="21"/>
                <w:lang w:eastAsia="en-GB"/>
              </w:rPr>
              <w:t>4.2.1</w:t>
            </w:r>
          </w:p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en-GB"/>
              </w:rPr>
            </w:pPr>
            <w:r w:rsidRPr="00675966">
              <w:rPr>
                <w:rFonts w:eastAsia="Times New Roman" w:cs="Calibri"/>
                <w:b/>
                <w:color w:val="FF0000"/>
                <w:sz w:val="21"/>
                <w:szCs w:val="21"/>
                <w:lang w:eastAsia="en-GB"/>
              </w:rPr>
              <w:t>HIGH PRIORITY</w:t>
            </w:r>
          </w:p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1"/>
                <w:szCs w:val="21"/>
                <w:lang w:eastAsia="en-GB"/>
              </w:rPr>
            </w:pPr>
          </w:p>
        </w:tc>
        <w:tc>
          <w:tcPr>
            <w:tcW w:w="6798" w:type="dxa"/>
          </w:tcPr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en-GB"/>
              </w:rPr>
            </w:pPr>
            <w:r w:rsidRPr="00675966">
              <w:rPr>
                <w:rFonts w:cs="Calibri"/>
                <w:b/>
                <w:sz w:val="21"/>
                <w:szCs w:val="21"/>
              </w:rPr>
              <w:t xml:space="preserve">Implement and evaluate additional mechanisms to support those on FTCs to progress their careers.  </w:t>
            </w:r>
          </w:p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en-GB"/>
              </w:rPr>
            </w:pPr>
            <w:r w:rsidRPr="00675966">
              <w:rPr>
                <w:rFonts w:eastAsia="Times New Roman" w:cs="Calibri"/>
                <w:i/>
                <w:color w:val="000000"/>
                <w:sz w:val="21"/>
                <w:szCs w:val="21"/>
                <w:lang w:eastAsia="en-GB"/>
              </w:rPr>
              <w:t>To support those on FTCs and facilitate their career ambitions.</w:t>
            </w:r>
          </w:p>
          <w:p w:rsidR="00B558DA" w:rsidRPr="00675966" w:rsidRDefault="00B558DA" w:rsidP="00675966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960" w:type="dxa"/>
          </w:tcPr>
          <w:p w:rsidR="00B558DA" w:rsidRPr="00675966" w:rsidRDefault="00B558DA" w:rsidP="00035775">
            <w:pPr>
              <w:pStyle w:val="BodyCopyIndent"/>
              <w:widowControl w:val="0"/>
              <w:tabs>
                <w:tab w:val="clear" w:pos="567"/>
                <w:tab w:val="left" w:pos="184"/>
              </w:tabs>
              <w:spacing w:before="120" w:line="240" w:lineRule="auto"/>
              <w:ind w:left="34"/>
              <w:rPr>
                <w:rFonts w:cs="Calibri"/>
                <w:sz w:val="21"/>
                <w:szCs w:val="21"/>
                <w:lang w:val="en-GB"/>
              </w:rPr>
            </w:pPr>
            <w:r w:rsidRPr="00675966">
              <w:rPr>
                <w:rFonts w:cs="Calibri"/>
                <w:sz w:val="21"/>
                <w:szCs w:val="21"/>
                <w:lang w:val="en-GB"/>
              </w:rPr>
              <w:t>Carry out a focus group with those on FTCs.</w:t>
            </w:r>
          </w:p>
          <w:p w:rsidR="00675966" w:rsidRPr="00675966" w:rsidRDefault="00B558DA" w:rsidP="00035775">
            <w:pPr>
              <w:pStyle w:val="BodyCopyIndent"/>
              <w:widowControl w:val="0"/>
              <w:tabs>
                <w:tab w:val="clear" w:pos="567"/>
                <w:tab w:val="left" w:pos="184"/>
              </w:tabs>
              <w:spacing w:before="120" w:line="240" w:lineRule="auto"/>
              <w:ind w:left="34"/>
              <w:rPr>
                <w:rFonts w:eastAsia="Times New Roman" w:cs="Calibri"/>
                <w:sz w:val="21"/>
                <w:szCs w:val="21"/>
                <w:lang w:eastAsia="en-GB"/>
              </w:rPr>
            </w:pPr>
            <w:r w:rsidRPr="00675966">
              <w:rPr>
                <w:rFonts w:eastAsia="Times New Roman" w:cs="Calibri"/>
                <w:sz w:val="21"/>
                <w:szCs w:val="21"/>
                <w:lang w:eastAsia="en-GB"/>
              </w:rPr>
              <w:t>Invite all Principle Investigators (PIs) to undergo mentoring training.</w:t>
            </w:r>
            <w:r w:rsidR="00675966" w:rsidRPr="00675966">
              <w:rPr>
                <w:rFonts w:eastAsia="Times New Roman" w:cs="Calibri"/>
                <w:sz w:val="21"/>
                <w:szCs w:val="21"/>
                <w:lang w:eastAsia="en-GB"/>
              </w:rPr>
              <w:t xml:space="preserve"> Encourage all staff on FTCs to have an annual PDR.</w:t>
            </w:r>
          </w:p>
          <w:p w:rsidR="00B558DA" w:rsidRPr="00675966" w:rsidRDefault="00B558DA" w:rsidP="00675966">
            <w:pPr>
              <w:pStyle w:val="BodyCopyIndent"/>
              <w:widowControl w:val="0"/>
              <w:tabs>
                <w:tab w:val="clear" w:pos="567"/>
                <w:tab w:val="left" w:pos="184"/>
              </w:tabs>
              <w:spacing w:before="120" w:line="240" w:lineRule="auto"/>
              <w:ind w:left="34"/>
              <w:rPr>
                <w:rFonts w:eastAsia="Times New Roman" w:cs="Calibri"/>
                <w:sz w:val="21"/>
                <w:szCs w:val="21"/>
                <w:lang w:eastAsia="en-GB"/>
              </w:rPr>
            </w:pPr>
            <w:r w:rsidRPr="00675966">
              <w:rPr>
                <w:rFonts w:eastAsia="Times New Roman" w:cs="Calibri"/>
                <w:sz w:val="21"/>
                <w:szCs w:val="21"/>
                <w:lang w:eastAsia="en-GB"/>
              </w:rPr>
              <w:t>Work with HR to develop ‘pathway to permanency’ plans with staff on FTCs.</w:t>
            </w:r>
          </w:p>
        </w:tc>
      </w:tr>
      <w:tr w:rsidR="00675966" w:rsidRPr="005331DD" w:rsidTr="00675966">
        <w:trPr>
          <w:cantSplit/>
        </w:trPr>
        <w:tc>
          <w:tcPr>
            <w:tcW w:w="1702" w:type="dxa"/>
            <w:vAlign w:val="center"/>
          </w:tcPr>
          <w:p w:rsidR="00675966" w:rsidRPr="00675966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r w:rsidRPr="00675966">
              <w:rPr>
                <w:rFonts w:cs="Calibri"/>
                <w:b/>
                <w:sz w:val="21"/>
                <w:szCs w:val="21"/>
              </w:rPr>
              <w:lastRenderedPageBreak/>
              <w:t>Action</w:t>
            </w:r>
          </w:p>
          <w:p w:rsidR="00675966" w:rsidRPr="00675966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r w:rsidRPr="00675966">
              <w:rPr>
                <w:rFonts w:cs="Calibri"/>
                <w:b/>
                <w:sz w:val="21"/>
                <w:szCs w:val="21"/>
              </w:rPr>
              <w:t>Point reference</w:t>
            </w:r>
          </w:p>
        </w:tc>
        <w:tc>
          <w:tcPr>
            <w:tcW w:w="6798" w:type="dxa"/>
            <w:vAlign w:val="center"/>
          </w:tcPr>
          <w:p w:rsidR="00675966" w:rsidRPr="00675966" w:rsidRDefault="00675966" w:rsidP="00675966">
            <w:pPr>
              <w:keepNext/>
              <w:keepLines/>
              <w:widowControl w:val="0"/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r w:rsidRPr="00675966">
              <w:rPr>
                <w:rFonts w:cs="Calibri"/>
                <w:b/>
                <w:sz w:val="21"/>
                <w:szCs w:val="21"/>
              </w:rPr>
              <w:t xml:space="preserve">Action and </w:t>
            </w:r>
            <w:r w:rsidRPr="00675966">
              <w:rPr>
                <w:rFonts w:cs="Calibri"/>
                <w:b/>
                <w:i/>
                <w:sz w:val="21"/>
                <w:szCs w:val="21"/>
              </w:rPr>
              <w:t xml:space="preserve">Rationale </w:t>
            </w:r>
          </w:p>
        </w:tc>
        <w:tc>
          <w:tcPr>
            <w:tcW w:w="5960" w:type="dxa"/>
            <w:vAlign w:val="center"/>
          </w:tcPr>
          <w:p w:rsidR="00675966" w:rsidRPr="00675966" w:rsidRDefault="00675966" w:rsidP="00675966">
            <w:pPr>
              <w:widowControl w:val="0"/>
              <w:spacing w:before="120" w:after="120" w:line="240" w:lineRule="auto"/>
              <w:ind w:left="34"/>
              <w:rPr>
                <w:rFonts w:cs="Calibri"/>
                <w:b/>
                <w:sz w:val="21"/>
                <w:szCs w:val="21"/>
              </w:rPr>
            </w:pPr>
            <w:r w:rsidRPr="00675966">
              <w:rPr>
                <w:rFonts w:cs="Calibri"/>
                <w:b/>
                <w:sz w:val="21"/>
                <w:szCs w:val="21"/>
              </w:rPr>
              <w:t>Proposed ways to complete the action</w:t>
            </w: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 w:themeColor="text1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 w:themeColor="text1"/>
                <w:sz w:val="22"/>
                <w:szCs w:val="22"/>
                <w:lang w:eastAsia="en-GB"/>
              </w:rPr>
              <w:t>4.1.8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cs="Calibri"/>
                <w:b/>
                <w:color w:val="000000" w:themeColor="text1"/>
                <w:sz w:val="22"/>
                <w:szCs w:val="22"/>
              </w:rPr>
              <w:t>MEDIUM PRIORITY</w:t>
            </w:r>
          </w:p>
        </w:tc>
        <w:tc>
          <w:tcPr>
            <w:tcW w:w="6798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b/>
                <w:color w:val="000000" w:themeColor="text1"/>
                <w:sz w:val="22"/>
                <w:szCs w:val="22"/>
                <w:lang w:eastAsia="en-GB"/>
              </w:rPr>
              <w:t xml:space="preserve">Implement and evaluate additional targeted support mechanisms for PGR students with caring responsibilities. 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cs="Calibri"/>
                <w:i/>
                <w:color w:val="000000" w:themeColor="text1"/>
                <w:sz w:val="22"/>
                <w:szCs w:val="22"/>
              </w:rPr>
              <w:t xml:space="preserve">To improve the experiences of support for PGR students completing their PhD who have caring and other commitments. </w:t>
            </w:r>
          </w:p>
        </w:tc>
        <w:tc>
          <w:tcPr>
            <w:tcW w:w="5960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Remind supervisors of the need to offer flexible supervision times for all PGR students.</w:t>
            </w:r>
          </w:p>
          <w:p w:rsidR="00B558DA" w:rsidRPr="00675966" w:rsidRDefault="00B558DA" w:rsidP="00035775">
            <w:pPr>
              <w:pStyle w:val="BodyCopyIndent"/>
              <w:widowControl w:val="0"/>
              <w:tabs>
                <w:tab w:val="clear" w:pos="567"/>
                <w:tab w:val="left" w:pos="184"/>
              </w:tabs>
              <w:spacing w:before="120" w:line="240" w:lineRule="auto"/>
              <w:ind w:left="34"/>
              <w:rPr>
                <w:rFonts w:eastAsia="Times New Roman" w:cs="Calibri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szCs w:val="22"/>
                <w:lang w:eastAsia="en-GB"/>
              </w:rPr>
              <w:t>Pair PGR mentors who have experienced balancing caring and PGR study with a new PGR student with caring responsibilities.</w:t>
            </w: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5.5.6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 w:themeColor="text1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  <w:t>HIGH PRIORITY</w:t>
            </w:r>
          </w:p>
        </w:tc>
        <w:tc>
          <w:tcPr>
            <w:tcW w:w="6798" w:type="dxa"/>
          </w:tcPr>
          <w:p w:rsidR="00B558DA" w:rsidRPr="00675966" w:rsidRDefault="00B558DA" w:rsidP="00035775">
            <w:pPr>
              <w:widowControl w:val="0"/>
              <w:shd w:val="clear" w:color="auto" w:fill="FFFFFF"/>
              <w:spacing w:before="120" w:after="120" w:line="240" w:lineRule="auto"/>
              <w:ind w:left="8"/>
              <w:rPr>
                <w:rFonts w:eastAsia="Times New Roman" w:cs="Calibri"/>
                <w:b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>Develop, implement and evaluate a re-Induction process for staff returning from leave (</w:t>
            </w:r>
            <w:proofErr w:type="spellStart"/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>eg</w:t>
            </w:r>
            <w:proofErr w:type="spellEnd"/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>. Maternity, parental, long-term sick)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i/>
                <w:color w:val="000000" w:themeColor="text1"/>
                <w:sz w:val="22"/>
                <w:szCs w:val="22"/>
              </w:rPr>
            </w:pPr>
            <w:r w:rsidRPr="00675966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ensure staff </w:t>
            </w:r>
            <w:proofErr w:type="gramStart"/>
            <w:r w:rsidRPr="00675966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are supported</w:t>
            </w:r>
            <w:proofErr w:type="gramEnd"/>
            <w:r w:rsidRPr="00675966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 in returning following leave. </w:t>
            </w:r>
          </w:p>
        </w:tc>
        <w:tc>
          <w:tcPr>
            <w:tcW w:w="5960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ind w:left="34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sz w:val="22"/>
                <w:szCs w:val="22"/>
                <w:lang w:eastAsia="en-GB"/>
              </w:rPr>
              <w:t xml:space="preserve">Design and implement a re-induction process for all returning staff to undergo within 2 weeks of returning. </w:t>
            </w: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5.3.2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FF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b/>
                <w:color w:val="FFC000"/>
                <w:sz w:val="22"/>
                <w:szCs w:val="22"/>
                <w:lang w:eastAsia="en-GB"/>
              </w:rPr>
              <w:t>MEDIUM PRIORITY</w:t>
            </w:r>
          </w:p>
        </w:tc>
        <w:tc>
          <w:tcPr>
            <w:tcW w:w="6798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Style w:val="None"/>
                <w:rFonts w:cs="Calibri"/>
                <w:b/>
                <w:bCs/>
                <w:sz w:val="22"/>
                <w:szCs w:val="22"/>
              </w:rPr>
              <w:t xml:space="preserve">Include CPD activities in the Department workload model and assess participation rate. </w:t>
            </w:r>
            <w:r w:rsidRPr="00675966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 xml:space="preserve">To encourage and facilitate staff undertaking training. </w:t>
            </w:r>
          </w:p>
        </w:tc>
        <w:tc>
          <w:tcPr>
            <w:tcW w:w="5960" w:type="dxa"/>
          </w:tcPr>
          <w:p w:rsidR="00B558DA" w:rsidRPr="00675966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5331DD" w:rsidTr="00035775">
        <w:trPr>
          <w:cantSplit/>
        </w:trPr>
        <w:tc>
          <w:tcPr>
            <w:tcW w:w="1702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4.1.7</w:t>
            </w:r>
          </w:p>
        </w:tc>
        <w:tc>
          <w:tcPr>
            <w:tcW w:w="6798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>Formally request Faculty to re-introduce centrally funded completion bursaries for PGR students without external funding</w:t>
            </w:r>
            <w:proofErr w:type="gramStart"/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>;</w:t>
            </w:r>
            <w:proofErr w:type="gramEnd"/>
            <w:r w:rsidRPr="00675966">
              <w:rPr>
                <w:rFonts w:eastAsia="Times New Roman" w:cs="Calibri"/>
                <w:b/>
                <w:sz w:val="22"/>
                <w:szCs w:val="22"/>
                <w:lang w:eastAsia="en-GB"/>
              </w:rPr>
              <w:t xml:space="preserve"> assess impact of request and, if successful, of implementation of bursaries.</w:t>
            </w:r>
            <w:r w:rsidRPr="00675966">
              <w:rPr>
                <w:rFonts w:eastAsia="Times New Roman" w:cs="Calibri"/>
                <w:b/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  <w:t>To increase financial support for students without funding to enable them to complete their PhD.</w:t>
            </w:r>
          </w:p>
        </w:tc>
        <w:tc>
          <w:tcPr>
            <w:tcW w:w="5960" w:type="dxa"/>
          </w:tcPr>
          <w:p w:rsidR="00B558DA" w:rsidRPr="00675966" w:rsidRDefault="00B558DA" w:rsidP="00035775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B558DA" w:rsidRPr="00675966" w:rsidTr="00035775">
        <w:trPr>
          <w:cantSplit/>
        </w:trPr>
        <w:tc>
          <w:tcPr>
            <w:tcW w:w="1702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  <w:t>4.1.2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cs="Calibri"/>
                <w:b/>
                <w:color w:val="FFC000"/>
                <w:sz w:val="22"/>
                <w:szCs w:val="22"/>
              </w:rPr>
              <w:t>MEDIUM PRIORITY</w:t>
            </w:r>
          </w:p>
        </w:tc>
        <w:tc>
          <w:tcPr>
            <w:tcW w:w="6798" w:type="dxa"/>
          </w:tcPr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cs="Calibri"/>
                <w:b/>
                <w:sz w:val="22"/>
                <w:szCs w:val="22"/>
              </w:rPr>
            </w:pPr>
            <w:r w:rsidRPr="00675966">
              <w:rPr>
                <w:rFonts w:cs="Calibri"/>
                <w:b/>
                <w:sz w:val="22"/>
                <w:szCs w:val="22"/>
              </w:rPr>
              <w:t xml:space="preserve">Establish reasons for gender differences in the achievements of students on the SW and Sociology UG </w:t>
            </w:r>
            <w:proofErr w:type="gramStart"/>
            <w:r w:rsidRPr="00675966">
              <w:rPr>
                <w:rFonts w:cs="Calibri"/>
                <w:b/>
                <w:sz w:val="22"/>
                <w:szCs w:val="22"/>
              </w:rPr>
              <w:t>programmes and implement</w:t>
            </w:r>
            <w:proofErr w:type="gramEnd"/>
            <w:r w:rsidRPr="00675966">
              <w:rPr>
                <w:rFonts w:cs="Calibri"/>
                <w:b/>
                <w:sz w:val="22"/>
                <w:szCs w:val="22"/>
              </w:rPr>
              <w:t xml:space="preserve"> and assess mechanisms to ensure support is appropriate. </w:t>
            </w:r>
          </w:p>
          <w:p w:rsidR="00B558DA" w:rsidRPr="00675966" w:rsidRDefault="00B558DA" w:rsidP="00035775">
            <w:pPr>
              <w:widowControl w:val="0"/>
              <w:spacing w:before="120" w:after="120" w:line="240" w:lineRule="auto"/>
              <w:rPr>
                <w:rFonts w:eastAsia="Times New Roman" w:cs="Calibri"/>
                <w:i/>
                <w:color w:val="000000"/>
                <w:sz w:val="22"/>
                <w:szCs w:val="22"/>
                <w:lang w:eastAsia="en-GB"/>
              </w:rPr>
            </w:pPr>
            <w:r w:rsidRPr="00675966">
              <w:rPr>
                <w:rFonts w:cs="Calibri"/>
                <w:i/>
                <w:sz w:val="22"/>
                <w:szCs w:val="22"/>
              </w:rPr>
              <w:t xml:space="preserve">To ensure women and men are not disadvantaged in any of our UG programmes. </w:t>
            </w:r>
          </w:p>
        </w:tc>
        <w:tc>
          <w:tcPr>
            <w:tcW w:w="5960" w:type="dxa"/>
          </w:tcPr>
          <w:p w:rsidR="00B558DA" w:rsidRPr="00675966" w:rsidRDefault="00B558DA" w:rsidP="00035775">
            <w:pPr>
              <w:pStyle w:val="ListParagraph"/>
              <w:widowControl w:val="0"/>
              <w:spacing w:before="120" w:after="120" w:line="240" w:lineRule="auto"/>
              <w:ind w:left="3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</w:tbl>
    <w:p w:rsidR="00CB5504" w:rsidRDefault="00CB5504" w:rsidP="00675966"/>
    <w:sectPr w:rsidR="00CB5504" w:rsidSect="00675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737" w:bottom="567" w:left="737" w:header="737" w:footer="646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66" w:rsidRDefault="00675966" w:rsidP="0087402D">
      <w:pPr>
        <w:spacing w:before="0" w:line="240" w:lineRule="auto"/>
      </w:pPr>
      <w:r>
        <w:separator/>
      </w:r>
    </w:p>
  </w:endnote>
  <w:endnote w:type="continuationSeparator" w:id="0">
    <w:p w:rsidR="00675966" w:rsidRDefault="00675966" w:rsidP="0087402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837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966" w:rsidRDefault="00675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5966" w:rsidRDefault="00675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465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966" w:rsidRDefault="006759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2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5966" w:rsidRDefault="00675966" w:rsidP="0003577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3F" w:rsidRDefault="00444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66" w:rsidRDefault="00675966" w:rsidP="0087402D">
      <w:pPr>
        <w:spacing w:before="0" w:line="240" w:lineRule="auto"/>
      </w:pPr>
      <w:r>
        <w:separator/>
      </w:r>
    </w:p>
  </w:footnote>
  <w:footnote w:type="continuationSeparator" w:id="0">
    <w:p w:rsidR="00675966" w:rsidRDefault="00675966" w:rsidP="0087402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3F" w:rsidRDefault="00444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66" w:rsidRDefault="00675966" w:rsidP="00035775">
    <w:pPr>
      <w:pStyle w:val="Header"/>
      <w:jc w:val="right"/>
    </w:pPr>
    <w:bookmarkStart w:id="0" w:name="_GoBack"/>
    <w:bookmarkEnd w:id="0"/>
    <w:r>
      <w:rPr>
        <w:i/>
        <w:noProof/>
      </w:rPr>
      <w:t xml:space="preserve"> </w:t>
    </w:r>
    <w:r w:rsidR="0044423F">
      <w:rPr>
        <w:i/>
        <w:noProof/>
      </w:rPr>
      <w:t>18/06</w:t>
    </w:r>
    <w:r w:rsidRPr="00B17BBA">
      <w:rPr>
        <w:i/>
        <w:noProof/>
      </w:rPr>
      <w:t>/19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3F" w:rsidRDefault="00444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268"/>
    <w:multiLevelType w:val="hybridMultilevel"/>
    <w:tmpl w:val="0C28A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79D"/>
    <w:multiLevelType w:val="hybridMultilevel"/>
    <w:tmpl w:val="9174B6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108B1"/>
    <w:multiLevelType w:val="hybridMultilevel"/>
    <w:tmpl w:val="71F2CB96"/>
    <w:lvl w:ilvl="0" w:tplc="B4ACB6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2E72"/>
    <w:multiLevelType w:val="hybridMultilevel"/>
    <w:tmpl w:val="AD8AF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665C"/>
    <w:multiLevelType w:val="hybridMultilevel"/>
    <w:tmpl w:val="25DE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347A8"/>
    <w:multiLevelType w:val="hybridMultilevel"/>
    <w:tmpl w:val="80A22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498B"/>
    <w:multiLevelType w:val="hybridMultilevel"/>
    <w:tmpl w:val="9174B6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B55F6"/>
    <w:multiLevelType w:val="hybridMultilevel"/>
    <w:tmpl w:val="80A22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31B2"/>
    <w:multiLevelType w:val="hybridMultilevel"/>
    <w:tmpl w:val="7F0E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C198B"/>
    <w:multiLevelType w:val="hybridMultilevel"/>
    <w:tmpl w:val="1AA23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4F0C"/>
    <w:multiLevelType w:val="hybridMultilevel"/>
    <w:tmpl w:val="2FC03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09EC"/>
    <w:multiLevelType w:val="hybridMultilevel"/>
    <w:tmpl w:val="C812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5C5A"/>
    <w:multiLevelType w:val="hybridMultilevel"/>
    <w:tmpl w:val="536CC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3608"/>
    <w:multiLevelType w:val="hybridMultilevel"/>
    <w:tmpl w:val="A7B0B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647F6"/>
    <w:multiLevelType w:val="hybridMultilevel"/>
    <w:tmpl w:val="0AF0E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585A"/>
    <w:multiLevelType w:val="hybridMultilevel"/>
    <w:tmpl w:val="8C40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224E"/>
    <w:multiLevelType w:val="hybridMultilevel"/>
    <w:tmpl w:val="864A5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954E6"/>
    <w:multiLevelType w:val="hybridMultilevel"/>
    <w:tmpl w:val="60BCA512"/>
    <w:lvl w:ilvl="0" w:tplc="CB32FB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6E9A"/>
    <w:multiLevelType w:val="hybridMultilevel"/>
    <w:tmpl w:val="0D9ED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3438F"/>
    <w:multiLevelType w:val="hybridMultilevel"/>
    <w:tmpl w:val="1CDC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42880"/>
    <w:multiLevelType w:val="hybridMultilevel"/>
    <w:tmpl w:val="9174B6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74521"/>
    <w:multiLevelType w:val="hybridMultilevel"/>
    <w:tmpl w:val="536CC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D47F4"/>
    <w:multiLevelType w:val="hybridMultilevel"/>
    <w:tmpl w:val="31A63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29CF"/>
    <w:multiLevelType w:val="hybridMultilevel"/>
    <w:tmpl w:val="3E5CB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8708D"/>
    <w:multiLevelType w:val="hybridMultilevel"/>
    <w:tmpl w:val="E3C0F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F32BA"/>
    <w:multiLevelType w:val="hybridMultilevel"/>
    <w:tmpl w:val="6DB2B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E560C"/>
    <w:multiLevelType w:val="hybridMultilevel"/>
    <w:tmpl w:val="0AF0E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D6980"/>
    <w:multiLevelType w:val="hybridMultilevel"/>
    <w:tmpl w:val="C0786702"/>
    <w:lvl w:ilvl="0" w:tplc="3F90E5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01F2D"/>
    <w:multiLevelType w:val="hybridMultilevel"/>
    <w:tmpl w:val="536CC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A52A7"/>
    <w:multiLevelType w:val="hybridMultilevel"/>
    <w:tmpl w:val="0F22CAF0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5CA72C6"/>
    <w:multiLevelType w:val="hybridMultilevel"/>
    <w:tmpl w:val="E3A83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5EAA"/>
    <w:multiLevelType w:val="hybridMultilevel"/>
    <w:tmpl w:val="294EE352"/>
    <w:lvl w:ilvl="0" w:tplc="F0908BF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11E96"/>
    <w:multiLevelType w:val="hybridMultilevel"/>
    <w:tmpl w:val="1BCE2818"/>
    <w:lvl w:ilvl="0" w:tplc="AFCA724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25BBA"/>
    <w:multiLevelType w:val="hybridMultilevel"/>
    <w:tmpl w:val="7F06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792C"/>
    <w:multiLevelType w:val="hybridMultilevel"/>
    <w:tmpl w:val="A7E47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4F8D"/>
    <w:multiLevelType w:val="hybridMultilevel"/>
    <w:tmpl w:val="0F545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C281A"/>
    <w:multiLevelType w:val="hybridMultilevel"/>
    <w:tmpl w:val="44B4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E0126"/>
    <w:multiLevelType w:val="hybridMultilevel"/>
    <w:tmpl w:val="9174B6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A2F01"/>
    <w:multiLevelType w:val="hybridMultilevel"/>
    <w:tmpl w:val="DFF0B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F2F5B"/>
    <w:multiLevelType w:val="hybridMultilevel"/>
    <w:tmpl w:val="C1CC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A5566"/>
    <w:multiLevelType w:val="hybridMultilevel"/>
    <w:tmpl w:val="F49A7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32C19"/>
    <w:multiLevelType w:val="hybridMultilevel"/>
    <w:tmpl w:val="EED039AE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2" w15:restartNumberingAfterBreak="0">
    <w:nsid w:val="7B38707E"/>
    <w:multiLevelType w:val="hybridMultilevel"/>
    <w:tmpl w:val="B344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07BD8"/>
    <w:multiLevelType w:val="hybridMultilevel"/>
    <w:tmpl w:val="D18EC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460AF"/>
    <w:multiLevelType w:val="hybridMultilevel"/>
    <w:tmpl w:val="CF3A6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75ACD"/>
    <w:multiLevelType w:val="hybridMultilevel"/>
    <w:tmpl w:val="3F6C993C"/>
    <w:lvl w:ilvl="0" w:tplc="6DFAA58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33"/>
  </w:num>
  <w:num w:numId="7">
    <w:abstractNumId w:val="28"/>
  </w:num>
  <w:num w:numId="8">
    <w:abstractNumId w:val="42"/>
  </w:num>
  <w:num w:numId="9">
    <w:abstractNumId w:val="21"/>
  </w:num>
  <w:num w:numId="10">
    <w:abstractNumId w:val="39"/>
  </w:num>
  <w:num w:numId="11">
    <w:abstractNumId w:val="12"/>
  </w:num>
  <w:num w:numId="12">
    <w:abstractNumId w:val="38"/>
  </w:num>
  <w:num w:numId="13">
    <w:abstractNumId w:val="1"/>
  </w:num>
  <w:num w:numId="14">
    <w:abstractNumId w:val="4"/>
  </w:num>
  <w:num w:numId="15">
    <w:abstractNumId w:val="36"/>
  </w:num>
  <w:num w:numId="16">
    <w:abstractNumId w:val="20"/>
  </w:num>
  <w:num w:numId="17">
    <w:abstractNumId w:val="6"/>
  </w:num>
  <w:num w:numId="18">
    <w:abstractNumId w:val="37"/>
  </w:num>
  <w:num w:numId="19">
    <w:abstractNumId w:val="35"/>
  </w:num>
  <w:num w:numId="20">
    <w:abstractNumId w:val="26"/>
  </w:num>
  <w:num w:numId="21">
    <w:abstractNumId w:val="14"/>
  </w:num>
  <w:num w:numId="22">
    <w:abstractNumId w:val="41"/>
  </w:num>
  <w:num w:numId="23">
    <w:abstractNumId w:val="29"/>
  </w:num>
  <w:num w:numId="24">
    <w:abstractNumId w:val="2"/>
  </w:num>
  <w:num w:numId="25">
    <w:abstractNumId w:val="22"/>
  </w:num>
  <w:num w:numId="26">
    <w:abstractNumId w:val="44"/>
  </w:num>
  <w:num w:numId="27">
    <w:abstractNumId w:val="15"/>
  </w:num>
  <w:num w:numId="28">
    <w:abstractNumId w:val="45"/>
  </w:num>
  <w:num w:numId="29">
    <w:abstractNumId w:val="16"/>
  </w:num>
  <w:num w:numId="30">
    <w:abstractNumId w:val="34"/>
  </w:num>
  <w:num w:numId="31">
    <w:abstractNumId w:val="30"/>
  </w:num>
  <w:num w:numId="32">
    <w:abstractNumId w:val="13"/>
  </w:num>
  <w:num w:numId="33">
    <w:abstractNumId w:val="10"/>
  </w:num>
  <w:num w:numId="34">
    <w:abstractNumId w:val="17"/>
  </w:num>
  <w:num w:numId="35">
    <w:abstractNumId w:val="11"/>
  </w:num>
  <w:num w:numId="36">
    <w:abstractNumId w:val="9"/>
  </w:num>
  <w:num w:numId="37">
    <w:abstractNumId w:val="24"/>
  </w:num>
  <w:num w:numId="38">
    <w:abstractNumId w:val="25"/>
  </w:num>
  <w:num w:numId="39">
    <w:abstractNumId w:val="40"/>
  </w:num>
  <w:num w:numId="40">
    <w:abstractNumId w:val="18"/>
  </w:num>
  <w:num w:numId="41">
    <w:abstractNumId w:val="43"/>
  </w:num>
  <w:num w:numId="42">
    <w:abstractNumId w:val="0"/>
  </w:num>
  <w:num w:numId="43">
    <w:abstractNumId w:val="5"/>
  </w:num>
  <w:num w:numId="44">
    <w:abstractNumId w:val="7"/>
  </w:num>
  <w:num w:numId="45">
    <w:abstractNumId w:val="3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DD"/>
    <w:rsid w:val="00035775"/>
    <w:rsid w:val="000F53B7"/>
    <w:rsid w:val="001D187E"/>
    <w:rsid w:val="001F5EB8"/>
    <w:rsid w:val="00204EDD"/>
    <w:rsid w:val="00252E3F"/>
    <w:rsid w:val="002744A9"/>
    <w:rsid w:val="00302A78"/>
    <w:rsid w:val="0034326C"/>
    <w:rsid w:val="00384AC4"/>
    <w:rsid w:val="003F7131"/>
    <w:rsid w:val="0044423F"/>
    <w:rsid w:val="004F3E86"/>
    <w:rsid w:val="005331DD"/>
    <w:rsid w:val="00666502"/>
    <w:rsid w:val="00675966"/>
    <w:rsid w:val="006B44BF"/>
    <w:rsid w:val="0087402D"/>
    <w:rsid w:val="00902C32"/>
    <w:rsid w:val="0093704A"/>
    <w:rsid w:val="00A57E96"/>
    <w:rsid w:val="00AA6EBC"/>
    <w:rsid w:val="00B17BBA"/>
    <w:rsid w:val="00B558DA"/>
    <w:rsid w:val="00C423CA"/>
    <w:rsid w:val="00C465C4"/>
    <w:rsid w:val="00CB5504"/>
    <w:rsid w:val="00DC75C0"/>
    <w:rsid w:val="00F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C8D6BF"/>
  <w15:chartTrackingRefBased/>
  <w15:docId w15:val="{78D99F41-613C-4DB9-90F6-0F950BAC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31DD"/>
    <w:pPr>
      <w:spacing w:before="240" w:after="0" w:line="240" w:lineRule="atLeast"/>
    </w:pPr>
    <w:rPr>
      <w:rFonts w:ascii="Calibri" w:hAnsi="Calibri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3B7"/>
    <w:pPr>
      <w:spacing w:line="240" w:lineRule="auto"/>
      <w:outlineLvl w:val="0"/>
    </w:pPr>
    <w:rPr>
      <w:rFonts w:ascii="Cambria" w:hAnsi="Cambria"/>
      <w:b/>
      <w:color w:val="B5121B"/>
      <w:sz w:val="56"/>
      <w:szCs w:val="5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3B7"/>
    <w:pPr>
      <w:keepNext/>
      <w:keepLines/>
      <w:spacing w:before="40" w:line="240" w:lineRule="auto"/>
      <w:outlineLvl w:val="1"/>
    </w:pPr>
    <w:rPr>
      <w:rFonts w:eastAsiaTheme="majorEastAsia" w:cstheme="minorHAnsi"/>
      <w:b/>
      <w:color w:val="B5121B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3B7"/>
    <w:rPr>
      <w:rFonts w:ascii="Cambria" w:hAnsi="Cambria" w:cs="Times New Roman"/>
      <w:b/>
      <w:color w:val="B5121B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F53B7"/>
    <w:rPr>
      <w:rFonts w:eastAsiaTheme="majorEastAsia" w:cstheme="minorHAnsi"/>
      <w:b/>
      <w:color w:val="B5121B"/>
      <w:sz w:val="20"/>
      <w:szCs w:val="20"/>
      <w:lang w:eastAsia="en-GB"/>
    </w:rPr>
  </w:style>
  <w:style w:type="paragraph" w:customStyle="1" w:styleId="uniunderheading">
    <w:name w:val="uni underheading"/>
    <w:basedOn w:val="Normal"/>
    <w:link w:val="uniunderheadingChar"/>
    <w:autoRedefine/>
    <w:qFormat/>
    <w:rsid w:val="000F53B7"/>
    <w:rPr>
      <w:rFonts w:eastAsiaTheme="majorEastAsia" w:cstheme="majorBidi"/>
      <w:bCs/>
      <w:color w:val="818A8F"/>
      <w:sz w:val="32"/>
      <w:szCs w:val="32"/>
    </w:rPr>
  </w:style>
  <w:style w:type="character" w:customStyle="1" w:styleId="uniunderheadingChar">
    <w:name w:val="uni underheading Char"/>
    <w:basedOn w:val="DefaultParagraphFont"/>
    <w:link w:val="uniunderheading"/>
    <w:rsid w:val="000F53B7"/>
    <w:rPr>
      <w:rFonts w:ascii="Cambria" w:eastAsiaTheme="majorEastAsia" w:hAnsi="Cambria" w:cstheme="majorBidi"/>
      <w:bCs/>
      <w:color w:val="818A8F"/>
      <w:sz w:val="32"/>
      <w:szCs w:val="32"/>
    </w:rPr>
  </w:style>
  <w:style w:type="paragraph" w:customStyle="1" w:styleId="unimaintext">
    <w:name w:val="uni main text"/>
    <w:basedOn w:val="Subtitle"/>
    <w:link w:val="unimaintextChar"/>
    <w:autoRedefine/>
    <w:qFormat/>
    <w:rsid w:val="000F53B7"/>
    <w:pPr>
      <w:spacing w:after="0"/>
    </w:pPr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unimaintextChar">
    <w:name w:val="uni main text Char"/>
    <w:basedOn w:val="SubtitleChar"/>
    <w:link w:val="unimaintext"/>
    <w:rsid w:val="000F53B7"/>
    <w:rPr>
      <w:rFonts w:asciiTheme="majorHAnsi" w:eastAsiaTheme="majorEastAsia" w:hAnsiTheme="majorHAnsi" w:cstheme="majorBidi"/>
      <w:color w:val="000000" w:themeColor="text1"/>
      <w:spacing w:val="15"/>
      <w:sz w:val="20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3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53B7"/>
    <w:rPr>
      <w:rFonts w:eastAsiaTheme="minorEastAsia"/>
      <w:color w:val="5A5A5A" w:themeColor="text1" w:themeTint="A5"/>
      <w:spacing w:val="15"/>
      <w:lang w:eastAsia="en-GB"/>
    </w:rPr>
  </w:style>
  <w:style w:type="paragraph" w:customStyle="1" w:styleId="uniheading2">
    <w:name w:val="uni heading 2"/>
    <w:basedOn w:val="Subtitle"/>
    <w:link w:val="uniheading2Char"/>
    <w:autoRedefine/>
    <w:qFormat/>
    <w:rsid w:val="000F53B7"/>
    <w:pPr>
      <w:spacing w:after="0"/>
    </w:pPr>
    <w:rPr>
      <w:rFonts w:eastAsiaTheme="majorEastAsia" w:cstheme="majorBidi"/>
      <w:b/>
      <w:iCs/>
      <w:color w:val="B5121B"/>
      <w:sz w:val="20"/>
      <w:lang w:eastAsia="en-GB"/>
    </w:rPr>
  </w:style>
  <w:style w:type="character" w:customStyle="1" w:styleId="uniheading2Char">
    <w:name w:val="uni heading 2 Char"/>
    <w:basedOn w:val="SubtitleChar"/>
    <w:link w:val="uniheading2"/>
    <w:rsid w:val="000F53B7"/>
    <w:rPr>
      <w:rFonts w:ascii="Calibri" w:eastAsiaTheme="majorEastAsia" w:hAnsi="Calibri" w:cstheme="majorBidi"/>
      <w:b/>
      <w:iCs/>
      <w:color w:val="B5121B"/>
      <w:spacing w:val="15"/>
      <w:sz w:val="20"/>
      <w:szCs w:val="24"/>
      <w:lang w:eastAsia="en-GB"/>
    </w:rPr>
  </w:style>
  <w:style w:type="paragraph" w:customStyle="1" w:styleId="uniheading">
    <w:name w:val="uni heading"/>
    <w:basedOn w:val="Heading1"/>
    <w:link w:val="uniheadingChar"/>
    <w:autoRedefine/>
    <w:qFormat/>
    <w:rsid w:val="000F53B7"/>
    <w:pPr>
      <w:keepNext/>
      <w:keepLines/>
      <w:spacing w:after="240"/>
    </w:pPr>
    <w:rPr>
      <w:rFonts w:eastAsiaTheme="majorEastAsia" w:cstheme="majorBidi"/>
      <w:bCs/>
      <w:lang w:eastAsia="en-US"/>
    </w:rPr>
  </w:style>
  <w:style w:type="character" w:customStyle="1" w:styleId="uniheadingChar">
    <w:name w:val="uni heading Char"/>
    <w:basedOn w:val="DefaultParagraphFont"/>
    <w:link w:val="uniheading"/>
    <w:rsid w:val="000F53B7"/>
    <w:rPr>
      <w:rFonts w:ascii="Cambria" w:eastAsiaTheme="majorEastAsia" w:hAnsi="Cambria" w:cstheme="majorBidi"/>
      <w:b/>
      <w:bCs/>
      <w:color w:val="B5121B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A6EBC"/>
    <w:rPr>
      <w:b/>
      <w:color w:val="C00000"/>
      <w:u w:val="single"/>
    </w:rPr>
  </w:style>
  <w:style w:type="table" w:styleId="TableGrid">
    <w:name w:val="Table Grid"/>
    <w:basedOn w:val="TableNormal"/>
    <w:uiPriority w:val="59"/>
    <w:rsid w:val="005331D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5331DD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tLeast"/>
      <w:ind w:left="720"/>
    </w:pPr>
    <w:rPr>
      <w:rFonts w:ascii="Century Gothic" w:eastAsia="Arial Unicode MS" w:hAnsi="Century Gothic" w:cs="Arial Unicode MS"/>
      <w:color w:val="000000"/>
      <w:sz w:val="19"/>
      <w:szCs w:val="19"/>
      <w:u w:color="000000"/>
      <w:bdr w:val="nil"/>
      <w:lang w:val="en-US"/>
    </w:rPr>
  </w:style>
  <w:style w:type="paragraph" w:customStyle="1" w:styleId="BodyCopyIndent">
    <w:name w:val="BodyCopyIndent"/>
    <w:basedOn w:val="Normal"/>
    <w:rsid w:val="005331DD"/>
    <w:pPr>
      <w:tabs>
        <w:tab w:val="left" w:pos="567"/>
      </w:tabs>
      <w:spacing w:before="0" w:after="120" w:line="300" w:lineRule="atLeast"/>
      <w:ind w:left="567"/>
    </w:pPr>
    <w:rPr>
      <w:rFonts w:eastAsia="Century Gothic"/>
      <w:color w:val="000000"/>
      <w:sz w:val="22"/>
      <w:u w:color="000000"/>
      <w:bdr w:val="nil"/>
      <w:lang w:val="en-US"/>
    </w:rPr>
  </w:style>
  <w:style w:type="character" w:customStyle="1" w:styleId="None">
    <w:name w:val="None"/>
    <w:rsid w:val="005331DD"/>
  </w:style>
  <w:style w:type="paragraph" w:customStyle="1" w:styleId="BodyCopy">
    <w:name w:val="BodyCopy"/>
    <w:basedOn w:val="Normal"/>
    <w:qFormat/>
    <w:rsid w:val="005331DD"/>
    <w:pPr>
      <w:tabs>
        <w:tab w:val="left" w:pos="567"/>
      </w:tabs>
      <w:spacing w:before="0" w:after="120" w:line="300" w:lineRule="atLeast"/>
    </w:pPr>
    <w:rPr>
      <w:rFonts w:eastAsia="Century Gothic"/>
      <w:color w:val="000000"/>
      <w:sz w:val="22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02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2D"/>
    <w:rPr>
      <w:rFonts w:ascii="Calibri" w:hAnsi="Calibri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02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2D"/>
    <w:rPr>
      <w:rFonts w:ascii="Calibri" w:hAnsi="Calibri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B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Verrall, Rachel</dc:creator>
  <cp:keywords/>
  <dc:description/>
  <cp:lastModifiedBy>Verrall, Rachel</cp:lastModifiedBy>
  <cp:revision>9</cp:revision>
  <cp:lastPrinted>2019-05-22T12:42:00Z</cp:lastPrinted>
  <dcterms:created xsi:type="dcterms:W3CDTF">2019-05-26T22:00:00Z</dcterms:created>
  <dcterms:modified xsi:type="dcterms:W3CDTF">2019-06-18T09:56:00Z</dcterms:modified>
</cp:coreProperties>
</file>